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6C4EB4" w:rsidRPr="002123E2" w:rsidP="006C4EB4" w14:paraId="3AFF6C85" w14:textId="77777777">
      <w:pPr>
        <w:jc w:val="center"/>
        <w:rPr>
          <w:b/>
          <w:bCs/>
          <w:sz w:val="28"/>
          <w:szCs w:val="28"/>
        </w:rPr>
      </w:pPr>
      <w:r w:rsidRPr="002123E2">
        <w:rPr>
          <w:b/>
          <w:bCs/>
          <w:noProof/>
          <w:sz w:val="28"/>
          <w:szCs w:val="28"/>
        </w:rPr>
        <w:drawing>
          <wp:anchor distT="0" distB="0" distL="114300" distR="114300" simplePos="0" relativeHeight="251658240" behindDoc="1" locked="0" layoutInCell="1" allowOverlap="1">
            <wp:simplePos x="0" y="0"/>
            <wp:positionH relativeFrom="column">
              <wp:posOffset>-59055</wp:posOffset>
            </wp:positionH>
            <wp:positionV relativeFrom="paragraph">
              <wp:posOffset>183515</wp:posOffset>
            </wp:positionV>
            <wp:extent cx="963930" cy="963930"/>
            <wp:effectExtent l="0" t="0" r="7620" b="7620"/>
            <wp:wrapNone/>
            <wp:docPr id="286616849" name="Picture 2866168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16849" name="Picture 1" descr="Logo&#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393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3E2">
        <w:rPr>
          <w:b/>
          <w:bCs/>
          <w:sz w:val="28"/>
          <w:szCs w:val="28"/>
        </w:rPr>
        <w:t>Federal Communications Commission</w:t>
      </w:r>
    </w:p>
    <w:p w:rsidR="006C4EB4" w:rsidRPr="002123E2" w:rsidP="006C4EB4" w14:paraId="73F2FC0F" w14:textId="77777777">
      <w:pPr>
        <w:tabs>
          <w:tab w:val="left" w:pos="1941"/>
        </w:tabs>
        <w:jc w:val="center"/>
        <w:rPr>
          <w:szCs w:val="24"/>
        </w:rPr>
      </w:pPr>
      <w:r w:rsidRPr="002123E2">
        <w:rPr>
          <w:szCs w:val="24"/>
        </w:rPr>
        <w:t>Enforcement Bureau</w:t>
      </w:r>
    </w:p>
    <w:p w:rsidR="006C4EB4" w:rsidRPr="002123E2" w:rsidP="006C4EB4" w14:paraId="4BBCD22B" w14:textId="77777777">
      <w:pPr>
        <w:tabs>
          <w:tab w:val="left" w:pos="1941"/>
        </w:tabs>
        <w:jc w:val="center"/>
        <w:rPr>
          <w:szCs w:val="24"/>
        </w:rPr>
      </w:pPr>
      <w:r w:rsidRPr="002123E2">
        <w:rPr>
          <w:szCs w:val="24"/>
        </w:rPr>
        <w:t>Investigations and Hearings Division</w:t>
      </w:r>
    </w:p>
    <w:p w:rsidR="006C4EB4" w:rsidRPr="002123E2" w:rsidP="006C4EB4" w14:paraId="25D7AC3E" w14:textId="77777777">
      <w:pPr>
        <w:tabs>
          <w:tab w:val="left" w:pos="1941"/>
        </w:tabs>
        <w:jc w:val="center"/>
        <w:rPr>
          <w:szCs w:val="24"/>
        </w:rPr>
      </w:pPr>
      <w:r w:rsidRPr="002123E2">
        <w:rPr>
          <w:szCs w:val="24"/>
        </w:rPr>
        <w:t>45 L Street, NE</w:t>
      </w:r>
    </w:p>
    <w:p w:rsidR="006C4EB4" w:rsidRPr="002123E2" w:rsidP="006C4EB4" w14:paraId="5DF77A39" w14:textId="09B674BA">
      <w:pPr>
        <w:tabs>
          <w:tab w:val="left" w:pos="1941"/>
        </w:tabs>
        <w:jc w:val="center"/>
        <w:rPr>
          <w:szCs w:val="24"/>
        </w:rPr>
      </w:pPr>
      <w:r w:rsidRPr="002123E2">
        <w:rPr>
          <w:szCs w:val="24"/>
        </w:rPr>
        <w:t>Washington, DC 20554</w:t>
      </w:r>
    </w:p>
    <w:p w:rsidR="006C4EB4" w:rsidRPr="006C4EB4" w:rsidP="006C4EB4" w14:paraId="7A18C348" w14:textId="77777777">
      <w:pPr>
        <w:tabs>
          <w:tab w:val="left" w:pos="1941"/>
        </w:tabs>
        <w:jc w:val="center"/>
        <w:rPr>
          <w:sz w:val="22"/>
          <w:szCs w:val="22"/>
        </w:rPr>
      </w:pPr>
    </w:p>
    <w:p w:rsidR="006C4EB4" w:rsidRPr="006C4EB4" w:rsidP="006C4EB4" w14:paraId="2308948C" w14:textId="77777777">
      <w:pPr>
        <w:jc w:val="center"/>
        <w:rPr>
          <w:sz w:val="22"/>
          <w:szCs w:val="22"/>
        </w:rPr>
      </w:pPr>
    </w:p>
    <w:p w:rsidR="006C4EB4" w:rsidRPr="006C4EB4" w:rsidP="006C4EB4" w14:paraId="1B378E36" w14:textId="72698495">
      <w:pPr>
        <w:pStyle w:val="Heading2"/>
        <w:rPr>
          <w:rFonts w:ascii="Times New Roman" w:hAnsi="Times New Roman" w:cs="Times New Roman"/>
          <w:b/>
          <w:bCs/>
          <w:color w:val="auto"/>
          <w:sz w:val="22"/>
          <w:szCs w:val="22"/>
          <w:u w:val="single"/>
        </w:rPr>
      </w:pPr>
      <w:r w:rsidRPr="006C4EB4">
        <w:rPr>
          <w:rFonts w:ascii="Times New Roman" w:hAnsi="Times New Roman" w:cs="Times New Roman"/>
          <w:b/>
          <w:bCs/>
          <w:color w:val="auto"/>
          <w:sz w:val="22"/>
          <w:szCs w:val="22"/>
          <w:u w:val="single"/>
        </w:rPr>
        <w:t>VIA CERTIFIED MAIL RETURN RECEIPT REQUESTED</w:t>
      </w:r>
    </w:p>
    <w:p w:rsidR="006C4EB4" w:rsidRPr="006C4EB4" w:rsidP="006C4EB4" w14:paraId="3D576ECE" w14:textId="77777777">
      <w:pPr>
        <w:rPr>
          <w:b/>
          <w:bCs/>
          <w:noProof/>
          <w:color w:val="000000"/>
          <w:sz w:val="22"/>
          <w:szCs w:val="22"/>
        </w:rPr>
      </w:pPr>
    </w:p>
    <w:p w:rsidR="006C4EB4" w:rsidRPr="006C4EB4" w:rsidP="006C4EB4" w14:paraId="5E42AFB9" w14:textId="77777777">
      <w:pPr>
        <w:rPr>
          <w:noProof/>
          <w:color w:val="000000"/>
          <w:sz w:val="22"/>
          <w:szCs w:val="22"/>
        </w:rPr>
      </w:pPr>
      <w:r w:rsidRPr="006C4EB4">
        <w:rPr>
          <w:noProof/>
          <w:color w:val="000000"/>
          <w:sz w:val="22"/>
          <w:szCs w:val="22"/>
        </w:rPr>
        <w:t>Jeff Shaffer</w:t>
      </w:r>
    </w:p>
    <w:p w:rsidR="006C4EB4" w:rsidRPr="006C4EB4" w:rsidP="006C4EB4" w14:paraId="3F5C32B6" w14:textId="77777777">
      <w:pPr>
        <w:rPr>
          <w:noProof/>
          <w:color w:val="000000"/>
          <w:sz w:val="22"/>
          <w:szCs w:val="22"/>
        </w:rPr>
      </w:pPr>
      <w:r w:rsidRPr="006C4EB4">
        <w:rPr>
          <w:noProof/>
          <w:color w:val="000000"/>
          <w:sz w:val="22"/>
          <w:szCs w:val="22"/>
        </w:rPr>
        <w:t>FiberSpark Inc.</w:t>
      </w:r>
    </w:p>
    <w:p w:rsidR="006C4EB4" w:rsidRPr="006C4EB4" w:rsidP="006C4EB4" w14:paraId="4F12362D" w14:textId="77777777">
      <w:pPr>
        <w:rPr>
          <w:noProof/>
          <w:color w:val="000000"/>
          <w:sz w:val="22"/>
          <w:szCs w:val="22"/>
        </w:rPr>
      </w:pPr>
      <w:r w:rsidRPr="006C4EB4">
        <w:rPr>
          <w:noProof/>
          <w:color w:val="000000"/>
          <w:sz w:val="22"/>
          <w:szCs w:val="22"/>
        </w:rPr>
        <w:t>950 Danby Rd., Suite 75</w:t>
      </w:r>
    </w:p>
    <w:p w:rsidR="006C4EB4" w:rsidRPr="006C4EB4" w:rsidP="006C4EB4" w14:paraId="08B52FD2" w14:textId="40A25404">
      <w:pPr>
        <w:rPr>
          <w:noProof/>
          <w:color w:val="000000"/>
          <w:sz w:val="22"/>
          <w:szCs w:val="22"/>
        </w:rPr>
      </w:pPr>
      <w:r w:rsidRPr="006C4EB4">
        <w:rPr>
          <w:noProof/>
          <w:color w:val="000000"/>
          <w:sz w:val="22"/>
          <w:szCs w:val="22"/>
        </w:rPr>
        <w:t>Ithaca, NY 14850</w:t>
      </w:r>
    </w:p>
    <w:p w:rsidR="006C4EB4" w:rsidRPr="006C4EB4" w:rsidP="006C4EB4" w14:paraId="358C5FDB" w14:textId="77777777">
      <w:pPr>
        <w:rPr>
          <w:b/>
          <w:bCs/>
          <w:sz w:val="22"/>
          <w:szCs w:val="22"/>
        </w:rPr>
      </w:pPr>
    </w:p>
    <w:p w:rsidR="006C4EB4" w:rsidRPr="006C4EB4" w:rsidP="006C4EB4" w14:paraId="6546294D" w14:textId="77777777">
      <w:pPr>
        <w:pStyle w:val="StyleBoldCentered"/>
        <w:widowControl/>
        <w:spacing w:line="360" w:lineRule="auto"/>
        <w:rPr>
          <w:rFonts w:ascii="Times New Roman" w:hAnsi="Times New Roman"/>
        </w:rPr>
      </w:pPr>
      <w:r w:rsidRPr="006C4EB4">
        <w:rPr>
          <w:rFonts w:ascii="Times New Roman" w:hAnsi="Times New Roman"/>
        </w:rPr>
        <w:t>CITATION AND ORDER</w:t>
      </w:r>
    </w:p>
    <w:p w:rsidR="006C4EB4" w:rsidRPr="006C4EB4" w:rsidP="006C4EB4" w14:paraId="4FAB5985" w14:textId="7DCDBE47">
      <w:pPr>
        <w:spacing w:line="360" w:lineRule="auto"/>
        <w:jc w:val="center"/>
        <w:rPr>
          <w:b/>
          <w:sz w:val="22"/>
          <w:szCs w:val="22"/>
        </w:rPr>
      </w:pPr>
      <w:r w:rsidRPr="006C4EB4">
        <w:rPr>
          <w:b/>
          <w:sz w:val="22"/>
          <w:szCs w:val="22"/>
        </w:rPr>
        <w:t>File No. EB-IHD-24-00036674</w:t>
      </w:r>
    </w:p>
    <w:p w:rsidR="006C4EB4" w:rsidRPr="006C4EB4" w:rsidP="006C4EB4" w14:paraId="7B962864" w14:textId="60DEBDDF">
      <w:pPr>
        <w:spacing w:line="360" w:lineRule="auto"/>
        <w:jc w:val="center"/>
        <w:rPr>
          <w:b/>
          <w:sz w:val="22"/>
          <w:szCs w:val="22"/>
        </w:rPr>
      </w:pPr>
      <w:r w:rsidRPr="006C4EB4">
        <w:rPr>
          <w:b/>
          <w:sz w:val="22"/>
          <w:szCs w:val="22"/>
        </w:rPr>
        <w:t>Failure to File Mandatory Broadband Data</w:t>
      </w:r>
    </w:p>
    <w:p w:rsidR="006C4EB4" w:rsidRPr="006C4EB4" w:rsidP="006C4EB4" w14:paraId="4A9885CE" w14:textId="3659D4F4">
      <w:pPr>
        <w:tabs>
          <w:tab w:val="right" w:pos="9360"/>
        </w:tabs>
        <w:suppressAutoHyphens/>
        <w:rPr>
          <w:spacing w:val="-2"/>
          <w:sz w:val="22"/>
          <w:szCs w:val="22"/>
        </w:rPr>
      </w:pPr>
      <w:r w:rsidRPr="006C4EB4">
        <w:rPr>
          <w:b/>
          <w:spacing w:val="-2"/>
          <w:sz w:val="22"/>
          <w:szCs w:val="22"/>
        </w:rPr>
        <w:t xml:space="preserve">Adopted:  </w:t>
      </w:r>
      <w:r w:rsidR="002D0A24">
        <w:rPr>
          <w:b/>
          <w:spacing w:val="-2"/>
          <w:sz w:val="22"/>
          <w:szCs w:val="22"/>
        </w:rPr>
        <w:t>August 22, 2024</w:t>
      </w:r>
      <w:r w:rsidRPr="006C4EB4">
        <w:rPr>
          <w:b/>
          <w:spacing w:val="-2"/>
          <w:sz w:val="22"/>
          <w:szCs w:val="22"/>
        </w:rPr>
        <w:tab/>
        <w:t xml:space="preserve">Released:  </w:t>
      </w:r>
      <w:r w:rsidR="002D0A24">
        <w:rPr>
          <w:b/>
          <w:spacing w:val="-2"/>
          <w:sz w:val="22"/>
          <w:szCs w:val="22"/>
        </w:rPr>
        <w:t>August 22, 2024</w:t>
      </w:r>
    </w:p>
    <w:p w:rsidR="006C4EB4" w:rsidRPr="006C4EB4" w:rsidP="006C4EB4" w14:paraId="585204E1" w14:textId="77777777">
      <w:pPr>
        <w:jc w:val="center"/>
        <w:rPr>
          <w:sz w:val="22"/>
          <w:szCs w:val="22"/>
        </w:rPr>
      </w:pPr>
    </w:p>
    <w:p w:rsidR="006C4EB4" w:rsidRPr="00232158" w:rsidP="00232158" w14:paraId="46DB65B4" w14:textId="2638A39A">
      <w:pPr>
        <w:spacing w:after="120"/>
        <w:rPr>
          <w:spacing w:val="-2"/>
          <w:sz w:val="22"/>
          <w:szCs w:val="22"/>
        </w:rPr>
      </w:pPr>
      <w:r w:rsidRPr="006C4EB4">
        <w:rPr>
          <w:sz w:val="22"/>
          <w:szCs w:val="22"/>
        </w:rPr>
        <w:t xml:space="preserve">By the </w:t>
      </w:r>
      <w:r w:rsidRPr="006C4EB4">
        <w:rPr>
          <w:spacing w:val="-2"/>
          <w:sz w:val="22"/>
          <w:szCs w:val="22"/>
        </w:rPr>
        <w:t>Chief, Investigations and Hearings Division, Enforcement Bureau:</w:t>
      </w:r>
    </w:p>
    <w:p w:rsidR="00E84B74" w:rsidRPr="00B0369E" w:rsidP="002123E2" w14:paraId="1DA0F3A5" w14:textId="74494804">
      <w:pPr>
        <w:spacing w:after="120"/>
        <w:ind w:firstLine="720"/>
        <w:rPr>
          <w:sz w:val="22"/>
          <w:szCs w:val="22"/>
        </w:rPr>
      </w:pPr>
      <w:r w:rsidRPr="00B0369E">
        <w:rPr>
          <w:sz w:val="22"/>
          <w:szCs w:val="22"/>
        </w:rPr>
        <w:t xml:space="preserve">This is an official </w:t>
      </w:r>
      <w:r w:rsidRPr="00B0369E">
        <w:rPr>
          <w:b/>
          <w:sz w:val="22"/>
          <w:szCs w:val="22"/>
        </w:rPr>
        <w:t xml:space="preserve">CITATION AND ORDER </w:t>
      </w:r>
      <w:r w:rsidRPr="00B0369E">
        <w:rPr>
          <w:sz w:val="22"/>
          <w:szCs w:val="22"/>
        </w:rPr>
        <w:t xml:space="preserve">(Citation) issued pursuant to </w:t>
      </w:r>
      <w:r w:rsidR="00D43AA6">
        <w:rPr>
          <w:sz w:val="22"/>
          <w:szCs w:val="22"/>
        </w:rPr>
        <w:t>s</w:t>
      </w:r>
      <w:r w:rsidRPr="00B0369E">
        <w:rPr>
          <w:sz w:val="22"/>
          <w:szCs w:val="22"/>
        </w:rPr>
        <w:t xml:space="preserve">ection 503(b)(5) of the Communications Act of 1934, as amended (the Act), </w:t>
      </w:r>
      <w:r w:rsidRPr="00427CBC" w:rsidR="00427CBC">
        <w:rPr>
          <w:sz w:val="22"/>
          <w:szCs w:val="22"/>
        </w:rPr>
        <w:t>and sections 1.7001(b) and 1.7004 of the Commission’s rules,</w:t>
      </w:r>
      <w:r w:rsidR="00427CBC">
        <w:rPr>
          <w:sz w:val="22"/>
          <w:szCs w:val="22"/>
        </w:rPr>
        <w:t xml:space="preserve"> </w:t>
      </w:r>
      <w:r w:rsidRPr="00B0369E">
        <w:rPr>
          <w:sz w:val="22"/>
          <w:szCs w:val="22"/>
        </w:rPr>
        <w:t xml:space="preserve">to </w:t>
      </w:r>
      <w:r w:rsidRPr="00B0369E">
        <w:rPr>
          <w:sz w:val="22"/>
          <w:szCs w:val="22"/>
        </w:rPr>
        <w:t>FiberSpark</w:t>
      </w:r>
      <w:r w:rsidRPr="00B0369E">
        <w:rPr>
          <w:sz w:val="22"/>
          <w:szCs w:val="22"/>
        </w:rPr>
        <w:t xml:space="preserve"> Inc. (Company or </w:t>
      </w:r>
      <w:r w:rsidRPr="00B0369E">
        <w:rPr>
          <w:sz w:val="22"/>
          <w:szCs w:val="22"/>
        </w:rPr>
        <w:t>FiberSpark</w:t>
      </w:r>
      <w:r w:rsidRPr="00B0369E">
        <w:rPr>
          <w:sz w:val="22"/>
          <w:szCs w:val="22"/>
        </w:rPr>
        <w:t>) for violations of the Federal Communications Commission’s (</w:t>
      </w:r>
      <w:r w:rsidR="00D43AA6">
        <w:rPr>
          <w:sz w:val="22"/>
          <w:szCs w:val="22"/>
        </w:rPr>
        <w:t xml:space="preserve">FCC’s or </w:t>
      </w:r>
      <w:r w:rsidRPr="00B0369E">
        <w:rPr>
          <w:sz w:val="22"/>
          <w:szCs w:val="22"/>
        </w:rPr>
        <w:t xml:space="preserve">Commission’s) rules requiring reporting of data relating to </w:t>
      </w:r>
      <w:r w:rsidRPr="00B0369E">
        <w:rPr>
          <w:noProof/>
          <w:sz w:val="22"/>
          <w:szCs w:val="22"/>
        </w:rPr>
        <w:t>FiberSpark</w:t>
      </w:r>
      <w:r w:rsidRPr="00B0369E">
        <w:rPr>
          <w:sz w:val="22"/>
          <w:szCs w:val="22"/>
        </w:rPr>
        <w:t>’s</w:t>
      </w:r>
      <w:r w:rsidRPr="00B0369E">
        <w:rPr>
          <w:sz w:val="22"/>
          <w:szCs w:val="22"/>
        </w:rPr>
        <w:t xml:space="preserve"> broadband internet access service in the Broadband Data Collection (BDC) system.  According to our records, </w:t>
      </w:r>
      <w:r w:rsidRPr="00B0369E">
        <w:rPr>
          <w:noProof/>
          <w:sz w:val="22"/>
          <w:szCs w:val="22"/>
        </w:rPr>
        <w:t>FiberSpark</w:t>
      </w:r>
      <w:r w:rsidRPr="00B0369E">
        <w:rPr>
          <w:sz w:val="22"/>
          <w:szCs w:val="22"/>
        </w:rPr>
        <w:t xml:space="preserve"> violated sections 1.7001(b) and 1.7004 of the Commission’s rules by failing on </w:t>
      </w:r>
      <w:r w:rsidR="008255E3">
        <w:rPr>
          <w:sz w:val="22"/>
          <w:szCs w:val="22"/>
        </w:rPr>
        <w:t>two</w:t>
      </w:r>
      <w:r w:rsidRPr="00B0369E">
        <w:rPr>
          <w:sz w:val="22"/>
          <w:szCs w:val="22"/>
        </w:rPr>
        <w:t xml:space="preserve"> occasions to timely submit data about its service to the BDC system.</w:t>
      </w:r>
      <w:r>
        <w:rPr>
          <w:rStyle w:val="FootnoteReference"/>
          <w:rFonts w:eastAsiaTheme="majorEastAsia"/>
          <w:sz w:val="22"/>
          <w:szCs w:val="22"/>
        </w:rPr>
        <w:footnoteReference w:id="2"/>
      </w:r>
      <w:r w:rsidRPr="00B0369E">
        <w:rPr>
          <w:sz w:val="22"/>
          <w:szCs w:val="22"/>
        </w:rPr>
        <w:t xml:space="preserve">  As explained below, continuing failure to comply with Commission rule sections 1.7001 and 1.7004 may subject </w:t>
      </w:r>
      <w:r w:rsidRPr="00B0369E">
        <w:rPr>
          <w:noProof/>
          <w:sz w:val="22"/>
          <w:szCs w:val="22"/>
        </w:rPr>
        <w:t>FiberSpark</w:t>
      </w:r>
      <w:r w:rsidRPr="00B0369E">
        <w:rPr>
          <w:sz w:val="22"/>
          <w:szCs w:val="22"/>
        </w:rPr>
        <w:t xml:space="preserve"> to monetary forfeitures.</w:t>
      </w:r>
      <w:r>
        <w:rPr>
          <w:rStyle w:val="FootnoteReference"/>
          <w:rFonts w:eastAsiaTheme="majorEastAsia"/>
          <w:sz w:val="22"/>
          <w:szCs w:val="22"/>
        </w:rPr>
        <w:footnoteReference w:id="3"/>
      </w:r>
      <w:r w:rsidRPr="00B0369E">
        <w:rPr>
          <w:sz w:val="22"/>
          <w:szCs w:val="22"/>
        </w:rPr>
        <w:t xml:space="preserve"> </w:t>
      </w:r>
    </w:p>
    <w:p w:rsidR="006C4EB4" w:rsidRPr="00B0369E" w:rsidP="002123E2" w14:paraId="591CF852" w14:textId="029C057A">
      <w:pPr>
        <w:spacing w:after="120"/>
        <w:ind w:firstLine="720"/>
        <w:rPr>
          <w:sz w:val="22"/>
          <w:szCs w:val="22"/>
        </w:rPr>
      </w:pPr>
      <w:r w:rsidRPr="00B0369E">
        <w:rPr>
          <w:bCs/>
          <w:sz w:val="22"/>
          <w:szCs w:val="22"/>
        </w:rPr>
        <w:t xml:space="preserve">The Broadband DATA Act requires the Commission to collect broadband service availability data twice </w:t>
      </w:r>
      <w:r w:rsidR="00427CBC">
        <w:rPr>
          <w:bCs/>
          <w:sz w:val="22"/>
          <w:szCs w:val="22"/>
        </w:rPr>
        <w:t>per</w:t>
      </w:r>
      <w:r w:rsidRPr="00B0369E">
        <w:rPr>
          <w:bCs/>
          <w:sz w:val="22"/>
          <w:szCs w:val="22"/>
        </w:rPr>
        <w:t xml:space="preserve"> year for use in creating coverage maps,</w:t>
      </w:r>
      <w:r>
        <w:rPr>
          <w:rStyle w:val="FootnoteReference"/>
          <w:rFonts w:eastAsiaTheme="majorEastAsia"/>
          <w:bCs/>
          <w:sz w:val="22"/>
          <w:szCs w:val="22"/>
        </w:rPr>
        <w:footnoteReference w:id="4"/>
      </w:r>
      <w:r w:rsidRPr="00B0369E">
        <w:rPr>
          <w:bCs/>
          <w:sz w:val="22"/>
          <w:szCs w:val="22"/>
        </w:rPr>
        <w:t xml:space="preserve"> among other things.  The Commission updates the National Broadband Map using availability data collected biannually, “as of” June 30 and December 31 of each year, and makes other updates on an ongoing basis as a result of challenge adjudications, verifications and audits, and other updates or corrections.</w:t>
      </w:r>
      <w:r>
        <w:rPr>
          <w:rStyle w:val="FootnoteReference"/>
          <w:rFonts w:eastAsiaTheme="majorEastAsia"/>
          <w:bCs/>
          <w:sz w:val="22"/>
          <w:szCs w:val="22"/>
        </w:rPr>
        <w:footnoteReference w:id="5"/>
      </w:r>
      <w:r w:rsidRPr="00B0369E">
        <w:rPr>
          <w:bCs/>
          <w:sz w:val="22"/>
          <w:szCs w:val="22"/>
        </w:rPr>
        <w:t xml:space="preserve">  </w:t>
      </w:r>
      <w:r w:rsidRPr="00B0369E">
        <w:rPr>
          <w:sz w:val="22"/>
          <w:szCs w:val="22"/>
        </w:rPr>
        <w:t xml:space="preserve">All facilities-based providers of fixed or mobile broadband internet access service (Providers) are required by the Commission’s rules to submit </w:t>
      </w:r>
      <w:r w:rsidRPr="00B0369E">
        <w:rPr>
          <w:bCs/>
          <w:sz w:val="22"/>
          <w:szCs w:val="22"/>
        </w:rPr>
        <w:t xml:space="preserve">broadband service availability </w:t>
      </w:r>
      <w:r w:rsidRPr="00B0369E">
        <w:rPr>
          <w:sz w:val="22"/>
          <w:szCs w:val="22"/>
        </w:rPr>
        <w:t xml:space="preserve">data in the BDC system twice during every calendar year; the first </w:t>
      </w:r>
      <w:r w:rsidR="00427CBC">
        <w:rPr>
          <w:sz w:val="22"/>
          <w:szCs w:val="22"/>
        </w:rPr>
        <w:t xml:space="preserve">filing </w:t>
      </w:r>
      <w:r w:rsidRPr="00B0369E">
        <w:rPr>
          <w:sz w:val="22"/>
          <w:szCs w:val="22"/>
        </w:rPr>
        <w:t xml:space="preserve">is </w:t>
      </w:r>
      <w:r w:rsidRPr="00B0369E">
        <w:rPr>
          <w:sz w:val="22"/>
          <w:szCs w:val="22"/>
        </w:rPr>
        <w:t>due on or before March 1 (reporting data as of December 31 of the prior year) and the second is due on or before September 1 (reporting data as of June 30 of the current year).</w:t>
      </w:r>
      <w:r>
        <w:rPr>
          <w:rStyle w:val="FootnoteReference"/>
          <w:rFonts w:eastAsiaTheme="majorEastAsia"/>
          <w:sz w:val="22"/>
          <w:szCs w:val="22"/>
        </w:rPr>
        <w:footnoteReference w:id="6"/>
      </w:r>
    </w:p>
    <w:p w:rsidR="006C4EB4" w:rsidRPr="00B0369E" w:rsidP="002123E2" w14:paraId="476F3C27" w14:textId="3276A395">
      <w:pPr>
        <w:pStyle w:val="Heading1"/>
        <w:spacing w:before="0" w:after="120"/>
        <w:ind w:firstLine="720"/>
        <w:rPr>
          <w:rFonts w:ascii="Times New Roman" w:hAnsi="Times New Roman" w:cs="Times New Roman"/>
          <w:b/>
          <w:color w:val="auto"/>
          <w:sz w:val="22"/>
          <w:szCs w:val="22"/>
        </w:rPr>
      </w:pPr>
      <w:r w:rsidRPr="00B0369E">
        <w:rPr>
          <w:rFonts w:ascii="Times New Roman" w:hAnsi="Times New Roman" w:cs="Times New Roman"/>
          <w:bCs/>
          <w:color w:val="auto"/>
          <w:sz w:val="22"/>
          <w:szCs w:val="22"/>
        </w:rPr>
        <w:t>In addition to the information required by the Broadband DATA Act, the Commission also collects subscription data for broadband and voice services using FCC Form 477 (Form 477)</w:t>
      </w:r>
      <w:r>
        <w:rPr>
          <w:rStyle w:val="FootnoteReference"/>
          <w:rFonts w:ascii="Times New Roman" w:hAnsi="Times New Roman" w:cs="Times New Roman"/>
          <w:bCs/>
          <w:color w:val="auto"/>
          <w:sz w:val="22"/>
          <w:szCs w:val="22"/>
        </w:rPr>
        <w:footnoteReference w:id="7"/>
      </w:r>
      <w:r w:rsidRPr="00B0369E">
        <w:rPr>
          <w:rFonts w:ascii="Times New Roman" w:hAnsi="Times New Roman" w:cs="Times New Roman"/>
          <w:bCs/>
          <w:color w:val="auto"/>
          <w:sz w:val="22"/>
          <w:szCs w:val="22"/>
        </w:rPr>
        <w:t xml:space="preserve"> which is also submitted through the BDC system.</w:t>
      </w:r>
      <w:r>
        <w:rPr>
          <w:rStyle w:val="FootnoteReference"/>
          <w:rFonts w:ascii="Times New Roman" w:hAnsi="Times New Roman" w:cs="Times New Roman"/>
          <w:bCs/>
          <w:color w:val="auto"/>
          <w:sz w:val="22"/>
          <w:szCs w:val="22"/>
        </w:rPr>
        <w:footnoteReference w:id="8"/>
      </w:r>
      <w:r w:rsidRPr="00B0369E">
        <w:rPr>
          <w:rFonts w:ascii="Times New Roman" w:hAnsi="Times New Roman" w:cs="Times New Roman"/>
          <w:bCs/>
          <w:color w:val="auto"/>
          <w:sz w:val="22"/>
          <w:szCs w:val="22"/>
        </w:rPr>
        <w:t xml:space="preserve">  Form 477 filings include broadband service speed and subscriber information that the Commission uses to assess the state of broadband availability in the United States, and to take steps to further the goal of increasing that availability.</w:t>
      </w:r>
      <w:r>
        <w:rPr>
          <w:rStyle w:val="FootnoteReference"/>
          <w:rFonts w:ascii="Times New Roman" w:hAnsi="Times New Roman" w:cs="Times New Roman"/>
          <w:bCs/>
          <w:color w:val="auto"/>
          <w:sz w:val="22"/>
          <w:szCs w:val="22"/>
        </w:rPr>
        <w:footnoteReference w:id="9"/>
      </w:r>
    </w:p>
    <w:p w:rsidR="006C4EB4" w:rsidRPr="00B0369E" w:rsidP="002123E2" w14:paraId="11638042" w14:textId="2F4B6604">
      <w:pPr>
        <w:pStyle w:val="Heading1"/>
        <w:tabs>
          <w:tab w:val="left" w:pos="720"/>
        </w:tabs>
        <w:spacing w:before="0" w:after="120"/>
        <w:ind w:firstLine="720"/>
        <w:rPr>
          <w:rFonts w:ascii="Times New Roman" w:hAnsi="Times New Roman" w:cs="Times New Roman"/>
          <w:b/>
          <w:bCs/>
          <w:color w:val="auto"/>
          <w:sz w:val="22"/>
          <w:szCs w:val="22"/>
        </w:rPr>
      </w:pPr>
      <w:r w:rsidRPr="002D06A2">
        <w:rPr>
          <w:rFonts w:ascii="Times New Roman" w:hAnsi="Times New Roman" w:cs="Times New Roman"/>
          <w:color w:val="auto"/>
          <w:sz w:val="22"/>
          <w:szCs w:val="22"/>
        </w:rPr>
        <w:t>These data gatherings and submissions in the BDC system are essential for the Commission to publish complete, precise, granular data on the availability of fixed and mobile broadband nationwide.  The FCC, other federal agencies, and state and local governments use this data to carefully target funding  to bring broadband services to unserved and underserved locations.  A broadband provider’s failure to report timely and accurate broadband availability significantly hinders the ability of federal, state, and local policymakers to target broadband deployment funds made available through various funding programs as effectively and accurately as possible.</w:t>
      </w:r>
      <w:r w:rsidRPr="00B0369E">
        <w:rPr>
          <w:rFonts w:ascii="Times New Roman" w:hAnsi="Times New Roman" w:cs="Times New Roman"/>
          <w:color w:val="auto"/>
          <w:sz w:val="22"/>
          <w:szCs w:val="22"/>
        </w:rPr>
        <w:t xml:space="preserve"> </w:t>
      </w:r>
    </w:p>
    <w:p w:rsidR="006C4EB4" w:rsidRPr="00B0369E" w:rsidP="002123E2" w14:paraId="313C2085" w14:textId="57FD2433">
      <w:pPr>
        <w:pStyle w:val="Heading1"/>
        <w:tabs>
          <w:tab w:val="left" w:pos="720"/>
        </w:tabs>
        <w:spacing w:before="0" w:after="120"/>
        <w:ind w:firstLine="720"/>
        <w:rPr>
          <w:rFonts w:ascii="Times New Roman" w:hAnsi="Times New Roman" w:cs="Times New Roman"/>
          <w:b/>
          <w:bCs/>
          <w:color w:val="auto"/>
          <w:sz w:val="22"/>
          <w:szCs w:val="22"/>
        </w:rPr>
      </w:pPr>
      <w:r w:rsidRPr="00B0369E">
        <w:rPr>
          <w:rFonts w:ascii="Times New Roman" w:hAnsi="Times New Roman" w:cs="Times New Roman"/>
          <w:bCs/>
          <w:color w:val="auto"/>
          <w:sz w:val="22"/>
          <w:szCs w:val="22"/>
        </w:rPr>
        <w:t xml:space="preserve">Based on prior filings made by the Company, the Commission is aware that </w:t>
      </w:r>
      <w:r w:rsidRPr="00B0369E">
        <w:rPr>
          <w:rFonts w:ascii="Times New Roman" w:hAnsi="Times New Roman" w:cs="Times New Roman"/>
          <w:noProof/>
          <w:color w:val="auto"/>
          <w:sz w:val="22"/>
          <w:szCs w:val="22"/>
        </w:rPr>
        <w:t>FiberSpark</w:t>
      </w:r>
      <w:r w:rsidRPr="00B0369E">
        <w:rPr>
          <w:rFonts w:ascii="Times New Roman" w:hAnsi="Times New Roman" w:cs="Times New Roman"/>
          <w:bCs/>
          <w:color w:val="auto"/>
          <w:sz w:val="22"/>
          <w:szCs w:val="22"/>
        </w:rPr>
        <w:t xml:space="preserve"> is a facilities-based provider of fixed broadband internet access service.  To the extent that </w:t>
      </w:r>
      <w:r w:rsidRPr="00B0369E">
        <w:rPr>
          <w:rFonts w:ascii="Times New Roman" w:hAnsi="Times New Roman" w:cs="Times New Roman"/>
          <w:noProof/>
          <w:color w:val="auto"/>
          <w:sz w:val="22"/>
          <w:szCs w:val="22"/>
        </w:rPr>
        <w:t>FiberSpark</w:t>
      </w:r>
      <w:r w:rsidRPr="00B0369E">
        <w:rPr>
          <w:rFonts w:ascii="Times New Roman" w:hAnsi="Times New Roman" w:cs="Times New Roman"/>
          <w:bCs/>
          <w:color w:val="auto"/>
          <w:sz w:val="22"/>
          <w:szCs w:val="22"/>
        </w:rPr>
        <w:t xml:space="preserve"> made facilities-based fixed broadband service available to any location as of December 31, 2022</w:t>
      </w:r>
      <w:r w:rsidR="008255E3">
        <w:rPr>
          <w:rFonts w:ascii="Times New Roman" w:hAnsi="Times New Roman" w:cs="Times New Roman"/>
          <w:bCs/>
          <w:color w:val="auto"/>
          <w:sz w:val="22"/>
          <w:szCs w:val="22"/>
        </w:rPr>
        <w:t xml:space="preserve"> or </w:t>
      </w:r>
      <w:r w:rsidRPr="00B0369E">
        <w:rPr>
          <w:rFonts w:ascii="Times New Roman" w:hAnsi="Times New Roman" w:cs="Times New Roman"/>
          <w:bCs/>
          <w:color w:val="auto"/>
          <w:sz w:val="22"/>
          <w:szCs w:val="22"/>
        </w:rPr>
        <w:t>June 30, 2023, it had a legal obligation to file all required data as of those dates in the BDC system by no later than March 1, 2023</w:t>
      </w:r>
      <w:r w:rsidR="005F13D3">
        <w:rPr>
          <w:rFonts w:ascii="Times New Roman" w:hAnsi="Times New Roman" w:cs="Times New Roman"/>
          <w:bCs/>
          <w:color w:val="auto"/>
          <w:sz w:val="22"/>
          <w:szCs w:val="22"/>
        </w:rPr>
        <w:t xml:space="preserve"> or</w:t>
      </w:r>
      <w:r w:rsidRPr="00B0369E">
        <w:rPr>
          <w:rFonts w:ascii="Times New Roman" w:hAnsi="Times New Roman" w:cs="Times New Roman"/>
          <w:bCs/>
          <w:color w:val="auto"/>
          <w:sz w:val="22"/>
          <w:szCs w:val="22"/>
        </w:rPr>
        <w:t xml:space="preserve"> September 15, 2023,</w:t>
      </w:r>
      <w:r>
        <w:rPr>
          <w:rFonts w:ascii="Times New Roman" w:eastAsia="Times New Roman" w:hAnsi="Times New Roman" w:cs="Times New Roman"/>
          <w:bCs/>
          <w:color w:val="auto"/>
          <w:sz w:val="22"/>
          <w:szCs w:val="22"/>
          <w:vertAlign w:val="superscript"/>
        </w:rPr>
        <w:footnoteReference w:id="10"/>
      </w:r>
      <w:r w:rsidRPr="00427CBC" w:rsidR="00427CBC">
        <w:rPr>
          <w:rFonts w:ascii="Times New Roman" w:hAnsi="Times New Roman" w:cs="Times New Roman"/>
          <w:bCs/>
          <w:color w:val="auto"/>
          <w:sz w:val="22"/>
          <w:szCs w:val="22"/>
        </w:rPr>
        <w:t xml:space="preserve"> </w:t>
      </w:r>
      <w:r w:rsidRPr="00B0369E">
        <w:rPr>
          <w:rFonts w:ascii="Times New Roman" w:hAnsi="Times New Roman" w:cs="Times New Roman"/>
          <w:bCs/>
          <w:color w:val="auto"/>
          <w:sz w:val="22"/>
          <w:szCs w:val="22"/>
        </w:rPr>
        <w:t xml:space="preserve">respectively.  </w:t>
      </w:r>
      <w:r w:rsidRPr="00B0369E">
        <w:rPr>
          <w:rFonts w:ascii="Times New Roman" w:hAnsi="Times New Roman" w:cs="Times New Roman"/>
          <w:noProof/>
          <w:color w:val="auto"/>
          <w:sz w:val="22"/>
          <w:szCs w:val="22"/>
        </w:rPr>
        <w:t>FiberSpark</w:t>
      </w:r>
      <w:r w:rsidRPr="00B0369E">
        <w:rPr>
          <w:rFonts w:ascii="Times New Roman" w:hAnsi="Times New Roman" w:cs="Times New Roman"/>
          <w:bCs/>
          <w:color w:val="auto"/>
          <w:sz w:val="22"/>
          <w:szCs w:val="22"/>
        </w:rPr>
        <w:t xml:space="preserve"> failed to fulfill its obligations as mandated by Commission rule sections 1.7001(b) and 1.7004. </w:t>
      </w:r>
    </w:p>
    <w:p w:rsidR="006C4EB4" w:rsidRPr="00B0369E" w:rsidP="002123E2" w14:paraId="6AB85F29" w14:textId="2A3D4EA1">
      <w:pPr>
        <w:spacing w:after="120"/>
        <w:ind w:firstLine="720"/>
        <w:rPr>
          <w:sz w:val="22"/>
          <w:szCs w:val="22"/>
        </w:rPr>
      </w:pPr>
      <w:r w:rsidRPr="00B0369E">
        <w:rPr>
          <w:sz w:val="22"/>
          <w:szCs w:val="22"/>
        </w:rPr>
        <w:t>FiberSpark</w:t>
      </w:r>
      <w:r w:rsidRPr="00B0369E">
        <w:rPr>
          <w:sz w:val="22"/>
          <w:szCs w:val="22"/>
        </w:rPr>
        <w:t xml:space="preserve"> has received several notices regarding the requirement to file the Company’s BDC availability and subscription data, as well as an official warning letter from the Commission's Enforcement Bureau.</w:t>
      </w:r>
      <w:r>
        <w:rPr>
          <w:rStyle w:val="FootnoteReference"/>
          <w:rFonts w:eastAsiaTheme="majorEastAsia"/>
          <w:sz w:val="22"/>
          <w:szCs w:val="22"/>
        </w:rPr>
        <w:footnoteReference w:id="11"/>
      </w:r>
      <w:r w:rsidRPr="00B0369E">
        <w:rPr>
          <w:sz w:val="22"/>
          <w:szCs w:val="22"/>
        </w:rPr>
        <w:t xml:space="preserve">  Specifically, the Commission’s Office of Economics and Analytics (OEA) telephoned </w:t>
      </w:r>
      <w:r w:rsidRPr="00B0369E">
        <w:rPr>
          <w:noProof/>
          <w:sz w:val="22"/>
          <w:szCs w:val="22"/>
        </w:rPr>
        <w:t>FiberSpark</w:t>
      </w:r>
      <w:r w:rsidRPr="00B0369E">
        <w:rPr>
          <w:sz w:val="22"/>
          <w:szCs w:val="22"/>
        </w:rPr>
        <w:t xml:space="preserve"> on </w:t>
      </w:r>
      <w:r w:rsidRPr="00B0369E">
        <w:rPr>
          <w:noProof/>
          <w:sz w:val="22"/>
          <w:szCs w:val="22"/>
        </w:rPr>
        <w:t>June 8, 2023</w:t>
      </w:r>
      <w:r w:rsidRPr="00B0369E">
        <w:rPr>
          <w:sz w:val="22"/>
          <w:szCs w:val="22"/>
        </w:rPr>
        <w:t xml:space="preserve">; and OEA emailed </w:t>
      </w:r>
      <w:r w:rsidRPr="00B0369E">
        <w:rPr>
          <w:noProof/>
          <w:sz w:val="22"/>
          <w:szCs w:val="22"/>
        </w:rPr>
        <w:t>FiberSpark</w:t>
      </w:r>
      <w:r w:rsidRPr="00B0369E">
        <w:rPr>
          <w:sz w:val="22"/>
          <w:szCs w:val="22"/>
        </w:rPr>
        <w:t xml:space="preserve"> on </w:t>
      </w:r>
      <w:r w:rsidRPr="00B0369E">
        <w:rPr>
          <w:noProof/>
          <w:sz w:val="22"/>
          <w:szCs w:val="22"/>
        </w:rPr>
        <w:t>March 23, 2023 and July 19, 2023</w:t>
      </w:r>
      <w:r w:rsidRPr="00B0369E">
        <w:rPr>
          <w:sz w:val="22"/>
          <w:szCs w:val="22"/>
        </w:rPr>
        <w:t xml:space="preserve"> using the contact information that </w:t>
      </w:r>
      <w:r w:rsidRPr="00B0369E">
        <w:rPr>
          <w:noProof/>
          <w:sz w:val="22"/>
          <w:szCs w:val="22"/>
        </w:rPr>
        <w:t>FiberSpark</w:t>
      </w:r>
      <w:r w:rsidRPr="00B0369E">
        <w:rPr>
          <w:sz w:val="22"/>
          <w:szCs w:val="22"/>
        </w:rPr>
        <w:t xml:space="preserve"> registered in the BDC system.  Subsequently, the Commission’s Enforcement Bureau sent </w:t>
      </w:r>
      <w:r w:rsidRPr="00B0369E">
        <w:rPr>
          <w:noProof/>
          <w:sz w:val="22"/>
          <w:szCs w:val="22"/>
        </w:rPr>
        <w:t>FiberSpark</w:t>
      </w:r>
      <w:r w:rsidRPr="00B0369E">
        <w:rPr>
          <w:sz w:val="22"/>
          <w:szCs w:val="22"/>
        </w:rPr>
        <w:t xml:space="preserve"> a letter warning that failure to file the required </w:t>
      </w:r>
      <w:r w:rsidRPr="00B0369E">
        <w:rPr>
          <w:sz w:val="22"/>
          <w:szCs w:val="22"/>
        </w:rPr>
        <w:t xml:space="preserve">availability data in the BDC violates the Commission’s rules.  Despite receiving multiple notices to comply with </w:t>
      </w:r>
      <w:r w:rsidRPr="00427CBC" w:rsidR="00427CBC">
        <w:rPr>
          <w:sz w:val="22"/>
          <w:szCs w:val="22"/>
        </w:rPr>
        <w:t>the BDC data reporting requirements</w:t>
      </w:r>
      <w:r w:rsidRPr="00B0369E">
        <w:rPr>
          <w:sz w:val="22"/>
          <w:szCs w:val="22"/>
        </w:rPr>
        <w:t xml:space="preserve">, </w:t>
      </w:r>
      <w:r w:rsidRPr="00B0369E">
        <w:rPr>
          <w:noProof/>
          <w:sz w:val="22"/>
          <w:szCs w:val="22"/>
        </w:rPr>
        <w:t>FiberSpark</w:t>
      </w:r>
      <w:r w:rsidRPr="00B0369E">
        <w:rPr>
          <w:sz w:val="22"/>
          <w:szCs w:val="22"/>
        </w:rPr>
        <w:t xml:space="preserve"> has failed to file the broadband service availability data with the BDC system as required by sections 1.7001(b) and 1.7004 of the Commission’s rules.</w:t>
      </w:r>
    </w:p>
    <w:p w:rsidR="006C4EB4" w:rsidRPr="00B0369E" w:rsidP="002123E2" w14:paraId="3E27A7B9" w14:textId="77777777">
      <w:pPr>
        <w:spacing w:after="120"/>
        <w:ind w:firstLine="720"/>
        <w:rPr>
          <w:sz w:val="22"/>
          <w:szCs w:val="22"/>
        </w:rPr>
      </w:pPr>
      <w:r w:rsidRPr="00B0369E">
        <w:rPr>
          <w:sz w:val="22"/>
          <w:szCs w:val="22"/>
        </w:rPr>
        <w:t>We issue this Citation pursuant to section 503(b)(5) of the Act, which states that the Commission may not impose monetary forfeitures against non-</w:t>
      </w:r>
      <w:r w:rsidRPr="00B0369E">
        <w:rPr>
          <w:sz w:val="22"/>
          <w:szCs w:val="22"/>
        </w:rPr>
        <w:t>regulatees</w:t>
      </w:r>
      <w:r w:rsidRPr="00B0369E">
        <w:rPr>
          <w:sz w:val="22"/>
          <w:szCs w:val="22"/>
        </w:rPr>
        <w:t xml:space="preserve"> who violate Commission rules or the Act unless and until:  (a) the Commission issues a citation to the violator; (b) the Commission provides the violator a reasonable opportunity to respond; and (c) the violator subsequently engages in conduct described in the citation.</w:t>
      </w:r>
      <w:r>
        <w:rPr>
          <w:sz w:val="22"/>
          <w:szCs w:val="22"/>
          <w:vertAlign w:val="superscript"/>
        </w:rPr>
        <w:footnoteReference w:id="12"/>
      </w:r>
      <w:r w:rsidRPr="00B0369E">
        <w:rPr>
          <w:sz w:val="22"/>
          <w:szCs w:val="22"/>
        </w:rPr>
        <w:t xml:space="preserve">  Accordingly, </w:t>
      </w:r>
      <w:r w:rsidRPr="00B0369E">
        <w:rPr>
          <w:noProof/>
          <w:sz w:val="22"/>
          <w:szCs w:val="22"/>
        </w:rPr>
        <w:t>FiberSpark</w:t>
      </w:r>
      <w:r w:rsidRPr="00B0369E">
        <w:rPr>
          <w:sz w:val="22"/>
          <w:szCs w:val="22"/>
        </w:rPr>
        <w:t xml:space="preserve"> is hereby on notice that it must comply with sections 1.7001(b) and 1.7004 of the Commission’s rules or monetary forfeitures may be imposed for violating the Commission’s rules.</w:t>
      </w:r>
    </w:p>
    <w:p w:rsidR="006C4EB4" w:rsidRPr="00B0369E" w:rsidP="002123E2" w14:paraId="125A3967" w14:textId="079C26C8">
      <w:pPr>
        <w:spacing w:after="120"/>
        <w:ind w:firstLine="720"/>
        <w:rPr>
          <w:sz w:val="22"/>
          <w:szCs w:val="22"/>
        </w:rPr>
      </w:pPr>
      <w:r w:rsidRPr="00B0369E">
        <w:rPr>
          <w:sz w:val="22"/>
          <w:szCs w:val="22"/>
        </w:rPr>
        <w:t xml:space="preserve">Accordingly, </w:t>
      </w:r>
      <w:r w:rsidRPr="00427CBC" w:rsidR="00427CBC">
        <w:rPr>
          <w:sz w:val="22"/>
          <w:szCs w:val="22"/>
        </w:rPr>
        <w:t>pursuant to sections 1.7001(b) and 1.7004 of the Commission’s rules</w:t>
      </w:r>
      <w:r w:rsidR="00427CBC">
        <w:rPr>
          <w:sz w:val="22"/>
          <w:szCs w:val="22"/>
        </w:rPr>
        <w:t>,</w:t>
      </w:r>
      <w:r w:rsidRPr="00427CBC" w:rsidR="00427CBC">
        <w:rPr>
          <w:sz w:val="22"/>
          <w:szCs w:val="22"/>
        </w:rPr>
        <w:t xml:space="preserve"> </w:t>
      </w:r>
      <w:r w:rsidRPr="00B0369E">
        <w:rPr>
          <w:sz w:val="22"/>
          <w:szCs w:val="22"/>
        </w:rPr>
        <w:t xml:space="preserve">we </w:t>
      </w:r>
      <w:r w:rsidRPr="00B0369E">
        <w:rPr>
          <w:b/>
          <w:bCs/>
          <w:sz w:val="22"/>
          <w:szCs w:val="22"/>
        </w:rPr>
        <w:t>ORDER</w:t>
      </w:r>
      <w:r w:rsidRPr="00B0369E">
        <w:rPr>
          <w:sz w:val="22"/>
          <w:szCs w:val="22"/>
        </w:rPr>
        <w:t xml:space="preserve"> </w:t>
      </w:r>
      <w:r w:rsidRPr="00B0369E">
        <w:rPr>
          <w:b/>
          <w:bCs/>
          <w:noProof/>
          <w:sz w:val="22"/>
          <w:szCs w:val="22"/>
        </w:rPr>
        <w:t>FiberSpark</w:t>
      </w:r>
      <w:r w:rsidRPr="00B0369E">
        <w:rPr>
          <w:b/>
          <w:bCs/>
          <w:sz w:val="22"/>
          <w:szCs w:val="22"/>
        </w:rPr>
        <w:t xml:space="preserve"> to file the required data as of </w:t>
      </w:r>
      <w:r w:rsidR="008255E3">
        <w:rPr>
          <w:b/>
          <w:bCs/>
          <w:sz w:val="22"/>
          <w:szCs w:val="22"/>
        </w:rPr>
        <w:t>June</w:t>
      </w:r>
      <w:r w:rsidRPr="00B0369E">
        <w:rPr>
          <w:b/>
          <w:bCs/>
          <w:sz w:val="22"/>
          <w:szCs w:val="22"/>
        </w:rPr>
        <w:t xml:space="preserve"> 2023 in the BDC system within thirty (30) days from the release date of this Citation.</w:t>
      </w:r>
      <w:r w:rsidRPr="00B0369E">
        <w:rPr>
          <w:sz w:val="22"/>
          <w:szCs w:val="22"/>
        </w:rPr>
        <w:t xml:space="preserve">  BDC data must be filed online at </w:t>
      </w:r>
      <w:hyperlink r:id="rId6">
        <w:r w:rsidRPr="00B0369E">
          <w:rPr>
            <w:rStyle w:val="Hyperlink"/>
            <w:sz w:val="22"/>
            <w:szCs w:val="22"/>
          </w:rPr>
          <w:t>https://bdc.fcc.gov/</w:t>
        </w:r>
      </w:hyperlink>
      <w:r w:rsidRPr="00B0369E">
        <w:rPr>
          <w:sz w:val="22"/>
          <w:szCs w:val="22"/>
        </w:rPr>
        <w:t xml:space="preserve"> and instructional resources can be found at </w:t>
      </w:r>
      <w:hyperlink r:id="rId7">
        <w:r w:rsidRPr="00B0369E">
          <w:rPr>
            <w:rStyle w:val="Hyperlink"/>
            <w:sz w:val="22"/>
            <w:szCs w:val="22"/>
          </w:rPr>
          <w:t>https://www.fcc.gov/BroadbandData/resources</w:t>
        </w:r>
      </w:hyperlink>
      <w:r w:rsidRPr="00B0369E">
        <w:rPr>
          <w:sz w:val="22"/>
          <w:szCs w:val="22"/>
        </w:rPr>
        <w:t xml:space="preserve">.  If </w:t>
      </w:r>
      <w:r w:rsidRPr="00B0369E">
        <w:rPr>
          <w:noProof/>
          <w:sz w:val="22"/>
          <w:szCs w:val="22"/>
        </w:rPr>
        <w:t>FiberSpark</w:t>
      </w:r>
      <w:r w:rsidRPr="00B0369E">
        <w:rPr>
          <w:sz w:val="22"/>
          <w:szCs w:val="22"/>
        </w:rPr>
        <w:t xml:space="preserve"> believes that it </w:t>
      </w:r>
      <w:r w:rsidR="00427CBC">
        <w:rPr>
          <w:sz w:val="22"/>
          <w:szCs w:val="22"/>
        </w:rPr>
        <w:t>wa</w:t>
      </w:r>
      <w:r w:rsidRPr="00B0369E">
        <w:rPr>
          <w:sz w:val="22"/>
          <w:szCs w:val="22"/>
        </w:rPr>
        <w:t xml:space="preserve">s not required to file for the </w:t>
      </w:r>
      <w:r w:rsidR="008255E3">
        <w:rPr>
          <w:sz w:val="22"/>
          <w:szCs w:val="22"/>
        </w:rPr>
        <w:t xml:space="preserve">June </w:t>
      </w:r>
      <w:r w:rsidRPr="00B0369E">
        <w:rPr>
          <w:sz w:val="22"/>
          <w:szCs w:val="22"/>
        </w:rPr>
        <w:t>2023 filing period, or for any of the other periods enumerated above, because it did not provide broadband service at any location as of these dates or for any other reason, it must send an email within t</w:t>
      </w:r>
      <w:r w:rsidR="00427CBC">
        <w:rPr>
          <w:sz w:val="22"/>
          <w:szCs w:val="22"/>
        </w:rPr>
        <w:t>hirty</w:t>
      </w:r>
      <w:r w:rsidRPr="00B0369E">
        <w:rPr>
          <w:sz w:val="22"/>
          <w:szCs w:val="22"/>
        </w:rPr>
        <w:t xml:space="preserve"> (</w:t>
      </w:r>
      <w:r w:rsidR="00427CBC">
        <w:rPr>
          <w:sz w:val="22"/>
          <w:szCs w:val="22"/>
        </w:rPr>
        <w:t>3</w:t>
      </w:r>
      <w:r w:rsidRPr="00B0369E">
        <w:rPr>
          <w:sz w:val="22"/>
          <w:szCs w:val="22"/>
        </w:rPr>
        <w:t xml:space="preserve">0) days of the issuance of this Citation to </w:t>
      </w:r>
      <w:hyperlink r:id="rId8" w:history="1">
        <w:r w:rsidRPr="00B0369E">
          <w:rPr>
            <w:rStyle w:val="Hyperlink"/>
            <w:sz w:val="22"/>
            <w:szCs w:val="22"/>
          </w:rPr>
          <w:t>BroadbandDataInquiries@fcc.gov</w:t>
        </w:r>
      </w:hyperlink>
      <w:r w:rsidRPr="00B0369E">
        <w:rPr>
          <w:sz w:val="22"/>
          <w:szCs w:val="22"/>
        </w:rPr>
        <w:t xml:space="preserve">.  The email must include the Company’s name, service type, 10-digit FRN, and a detailed explanation as to why </w:t>
      </w:r>
      <w:r w:rsidRPr="00B0369E">
        <w:rPr>
          <w:noProof/>
          <w:sz w:val="22"/>
          <w:szCs w:val="22"/>
        </w:rPr>
        <w:t>FiberSpark</w:t>
      </w:r>
      <w:r w:rsidRPr="00B0369E">
        <w:rPr>
          <w:sz w:val="22"/>
          <w:szCs w:val="22"/>
        </w:rPr>
        <w:t xml:space="preserve"> believes it does not need to file BDC data.</w:t>
      </w:r>
      <w:r w:rsidRPr="00B0369E">
        <w:rPr>
          <w:kern w:val="2"/>
          <w:sz w:val="22"/>
          <w:szCs w:val="22"/>
        </w:rPr>
        <w:t xml:space="preserve">  We advise </w:t>
      </w:r>
      <w:r w:rsidRPr="00B0369E">
        <w:rPr>
          <w:noProof/>
          <w:kern w:val="2"/>
          <w:sz w:val="22"/>
          <w:szCs w:val="22"/>
        </w:rPr>
        <w:t>FiberSpark</w:t>
      </w:r>
      <w:r w:rsidRPr="00B0369E">
        <w:rPr>
          <w:kern w:val="2"/>
          <w:sz w:val="22"/>
          <w:szCs w:val="22"/>
        </w:rPr>
        <w:t xml:space="preserve"> that it is a violation of section 1.17 of the Commission’s rules for any person to make any false or misleading written or oral statement of fact to the Commission.</w:t>
      </w:r>
      <w:r>
        <w:rPr>
          <w:kern w:val="2"/>
          <w:sz w:val="22"/>
          <w:szCs w:val="22"/>
          <w:vertAlign w:val="superscript"/>
        </w:rPr>
        <w:footnoteReference w:id="13"/>
      </w:r>
    </w:p>
    <w:p w:rsidR="006C4EB4" w:rsidRPr="00B0369E" w:rsidP="002123E2" w14:paraId="2A58EC0D" w14:textId="77777777">
      <w:pPr>
        <w:spacing w:after="120"/>
        <w:ind w:firstLine="720"/>
        <w:rPr>
          <w:sz w:val="22"/>
          <w:szCs w:val="22"/>
        </w:rPr>
      </w:pPr>
      <w:r w:rsidRPr="00B0369E">
        <w:rPr>
          <w:b/>
          <w:bCs/>
          <w:sz w:val="22"/>
          <w:szCs w:val="22"/>
        </w:rPr>
        <w:t xml:space="preserve">If after receipt of this Citation and Order, </w:t>
      </w:r>
      <w:r w:rsidRPr="00B0369E">
        <w:rPr>
          <w:b/>
          <w:bCs/>
          <w:noProof/>
          <w:sz w:val="22"/>
          <w:szCs w:val="22"/>
        </w:rPr>
        <w:t>FiberSpark</w:t>
      </w:r>
      <w:r w:rsidRPr="00B0369E">
        <w:rPr>
          <w:b/>
          <w:bCs/>
          <w:sz w:val="22"/>
          <w:szCs w:val="22"/>
        </w:rPr>
        <w:t xml:space="preserve"> continues to fail to submit its service data and Form 477 data to the BDC system in compliance with Commission rule sections 1.7001(b) and 1.7004 or otherwise violates the Commission’s rules in any manner described in this letter, the Commission may impose monetary forfeitures not to exceed $24,496 for each day of a continuing violation, up to a maximum of $183,718.</w:t>
      </w:r>
      <w:r>
        <w:rPr>
          <w:sz w:val="22"/>
          <w:szCs w:val="22"/>
          <w:vertAlign w:val="superscript"/>
        </w:rPr>
        <w:footnoteReference w:id="14"/>
      </w:r>
      <w:r w:rsidRPr="00B0369E">
        <w:rPr>
          <w:sz w:val="22"/>
          <w:szCs w:val="22"/>
        </w:rPr>
        <w:t xml:space="preserve">  In assessing such forfeitures, the Commission may consider both the conduct that led to this Citation and the conduct following the issuance of this Citation, and the multiple filing periods for which the Company failed to submit BDC availability and Form 477 data in compliance with the Commission’s rules.</w:t>
      </w:r>
      <w:r>
        <w:rPr>
          <w:sz w:val="22"/>
          <w:szCs w:val="22"/>
          <w:vertAlign w:val="superscript"/>
        </w:rPr>
        <w:footnoteReference w:id="15"/>
      </w:r>
      <w:r w:rsidRPr="00B0369E">
        <w:rPr>
          <w:sz w:val="22"/>
          <w:szCs w:val="22"/>
        </w:rPr>
        <w:t xml:space="preserve">  The Commission may further adjust the forfeiture reflecting enumerated statutory factors, which include the nature, circumstances, extent, and gravity of the violation, </w:t>
      </w:r>
      <w:r w:rsidRPr="00B0369E">
        <w:rPr>
          <w:sz w:val="22"/>
          <w:szCs w:val="22"/>
        </w:rPr>
        <w:t>and with respect to the violator, the degree of culpability, any history of prior offenses, ability to pay, and other such matters as justice may require.</w:t>
      </w:r>
      <w:r>
        <w:rPr>
          <w:sz w:val="22"/>
          <w:szCs w:val="22"/>
          <w:vertAlign w:val="superscript"/>
        </w:rPr>
        <w:footnoteReference w:id="16"/>
      </w:r>
    </w:p>
    <w:p w:rsidR="006C4EB4" w:rsidRPr="00B0369E" w:rsidP="002123E2" w14:paraId="30647B13" w14:textId="19CAF929">
      <w:pPr>
        <w:pStyle w:val="ParaNum"/>
        <w:widowControl/>
        <w:numPr>
          <w:ilvl w:val="0"/>
          <w:numId w:val="0"/>
        </w:numPr>
        <w:ind w:firstLine="720"/>
        <w:rPr>
          <w:szCs w:val="22"/>
        </w:rPr>
      </w:pPr>
      <w:r w:rsidRPr="00B0369E">
        <w:rPr>
          <w:noProof/>
          <w:szCs w:val="22"/>
        </w:rPr>
        <w:t>FiberSpark</w:t>
      </w:r>
      <w:r w:rsidRPr="00B0369E">
        <w:rPr>
          <w:szCs w:val="22"/>
        </w:rPr>
        <w:t xml:space="preserve"> </w:t>
      </w:r>
      <w:r w:rsidRPr="00B0369E">
        <w:rPr>
          <w:kern w:val="2"/>
          <w:szCs w:val="22"/>
        </w:rPr>
        <w:t xml:space="preserve">may respond to this Citation within 30 calendar days from the release date of this Citation by any of the following methods:  (1) a written statement, (2) a teleconference interview, or (3) a personal interview at the Commission Field Office nearest to </w:t>
      </w:r>
      <w:r w:rsidRPr="00B0369E">
        <w:rPr>
          <w:noProof/>
          <w:szCs w:val="22"/>
        </w:rPr>
        <w:t>FiberSpark</w:t>
      </w:r>
      <w:r w:rsidRPr="00B0369E">
        <w:rPr>
          <w:kern w:val="2"/>
          <w:szCs w:val="22"/>
        </w:rPr>
        <w:t>’s</w:t>
      </w:r>
      <w:r w:rsidRPr="00B0369E">
        <w:rPr>
          <w:kern w:val="2"/>
          <w:szCs w:val="22"/>
        </w:rPr>
        <w:t xml:space="preserve"> place of business.</w:t>
      </w:r>
      <w:r>
        <w:rPr>
          <w:rStyle w:val="FootnoteReference"/>
          <w:rFonts w:eastAsiaTheme="majorEastAsia"/>
          <w:kern w:val="2"/>
          <w:szCs w:val="22"/>
        </w:rPr>
        <w:footnoteReference w:id="17"/>
      </w:r>
      <w:r w:rsidRPr="00B0369E">
        <w:rPr>
          <w:kern w:val="2"/>
          <w:szCs w:val="22"/>
        </w:rPr>
        <w:t xml:space="preserve">  The Commission Field Office nearest </w:t>
      </w:r>
      <w:r w:rsidRPr="00B0369E">
        <w:rPr>
          <w:noProof/>
          <w:szCs w:val="22"/>
        </w:rPr>
        <w:t>FiberSpark</w:t>
      </w:r>
      <w:r w:rsidRPr="00B0369E">
        <w:rPr>
          <w:szCs w:val="22"/>
        </w:rPr>
        <w:t xml:space="preserve"> </w:t>
      </w:r>
      <w:r w:rsidRPr="00B0369E">
        <w:rPr>
          <w:kern w:val="2"/>
          <w:szCs w:val="22"/>
        </w:rPr>
        <w:t xml:space="preserve">is located in New York, NY.  If </w:t>
      </w:r>
      <w:r w:rsidRPr="00B0369E">
        <w:rPr>
          <w:noProof/>
          <w:szCs w:val="22"/>
        </w:rPr>
        <w:t>FiberSpark</w:t>
      </w:r>
      <w:r w:rsidRPr="00B0369E">
        <w:rPr>
          <w:szCs w:val="22"/>
        </w:rPr>
        <w:t xml:space="preserve"> </w:t>
      </w:r>
      <w:r w:rsidRPr="00B0369E">
        <w:rPr>
          <w:kern w:val="2"/>
          <w:szCs w:val="22"/>
        </w:rPr>
        <w:t xml:space="preserve">requests a teleconference or personal interview, </w:t>
      </w:r>
      <w:r w:rsidR="0075452A">
        <w:rPr>
          <w:kern w:val="2"/>
          <w:szCs w:val="22"/>
        </w:rPr>
        <w:t>contact the Enforcement Bureau at</w:t>
      </w:r>
      <w:r w:rsidRPr="005C1E36" w:rsidR="00C6580C">
        <w:rPr>
          <w:kern w:val="2"/>
          <w:szCs w:val="22"/>
        </w:rPr>
        <w:t xml:space="preserve"> </w:t>
      </w:r>
      <w:hyperlink r:id="rId9" w:history="1">
        <w:r w:rsidRPr="005039D6" w:rsidR="00C6580C">
          <w:rPr>
            <w:rStyle w:val="Hyperlink"/>
            <w:kern w:val="2"/>
            <w:szCs w:val="22"/>
          </w:rPr>
          <w:t>IHDTelecom@fcc.gov</w:t>
        </w:r>
      </w:hyperlink>
      <w:r w:rsidR="00C6580C">
        <w:rPr>
          <w:kern w:val="2"/>
          <w:szCs w:val="22"/>
        </w:rPr>
        <w:t xml:space="preserve">.  </w:t>
      </w:r>
      <w:r w:rsidRPr="00B0369E">
        <w:rPr>
          <w:kern w:val="2"/>
          <w:szCs w:val="22"/>
        </w:rPr>
        <w:t xml:space="preserve">We note that such teleconference or interview must take place within 30 calendar days of the release date of this Citation.  If </w:t>
      </w:r>
      <w:r w:rsidRPr="00B0369E">
        <w:rPr>
          <w:noProof/>
          <w:szCs w:val="22"/>
        </w:rPr>
        <w:t>FiberSpark</w:t>
      </w:r>
      <w:r w:rsidRPr="00B0369E">
        <w:rPr>
          <w:szCs w:val="22"/>
        </w:rPr>
        <w:t xml:space="preserve"> </w:t>
      </w:r>
      <w:r w:rsidRPr="00B0369E">
        <w:rPr>
          <w:kern w:val="2"/>
          <w:szCs w:val="22"/>
        </w:rPr>
        <w:t xml:space="preserve">prefers to submit a written response with supporting documentation, it must send the response within 30 calendar days of the release date of this Citation to </w:t>
      </w:r>
      <w:r w:rsidRPr="00B0369E">
        <w:rPr>
          <w:szCs w:val="22"/>
        </w:rPr>
        <w:t>Investigations and Hearings Division, Enforcement Bureau</w:t>
      </w:r>
      <w:r w:rsidRPr="00B0369E">
        <w:rPr>
          <w:kern w:val="2"/>
          <w:szCs w:val="22"/>
        </w:rPr>
        <w:t xml:space="preserve">, Federal Communications Commission, </w:t>
      </w:r>
      <w:r w:rsidRPr="00B0369E">
        <w:rPr>
          <w:szCs w:val="22"/>
        </w:rPr>
        <w:t xml:space="preserve">45 L Street, NE, Washington, D.C. 20554, and </w:t>
      </w:r>
      <w:r w:rsidRPr="00B0369E">
        <w:rPr>
          <w:color w:val="000000"/>
          <w:szCs w:val="22"/>
        </w:rPr>
        <w:t>via email at</w:t>
      </w:r>
      <w:r w:rsidRPr="005C1E36" w:rsidR="00C6580C">
        <w:rPr>
          <w:kern w:val="2"/>
          <w:szCs w:val="22"/>
        </w:rPr>
        <w:t xml:space="preserve"> </w:t>
      </w:r>
      <w:hyperlink r:id="rId9" w:history="1">
        <w:r w:rsidRPr="005039D6" w:rsidR="00C6580C">
          <w:rPr>
            <w:rStyle w:val="Hyperlink"/>
            <w:kern w:val="2"/>
            <w:szCs w:val="22"/>
          </w:rPr>
          <w:t>IHDTelecom@fcc.gov</w:t>
        </w:r>
      </w:hyperlink>
      <w:r w:rsidR="00C6580C">
        <w:rPr>
          <w:kern w:val="2"/>
          <w:szCs w:val="22"/>
        </w:rPr>
        <w:t xml:space="preserve">.  </w:t>
      </w:r>
      <w:r w:rsidRPr="00B0369E">
        <w:rPr>
          <w:noProof/>
          <w:kern w:val="2"/>
          <w:szCs w:val="22"/>
        </w:rPr>
        <w:t>FiberSpark</w:t>
      </w:r>
      <w:r w:rsidRPr="00B0369E">
        <w:rPr>
          <w:kern w:val="2"/>
          <w:szCs w:val="22"/>
        </w:rPr>
        <w:t xml:space="preserve"> should reference the File Number of this Citation and Order in any response.</w:t>
      </w:r>
    </w:p>
    <w:p w:rsidR="006C4EB4" w:rsidRPr="00B0369E" w:rsidP="002123E2" w14:paraId="19D26544" w14:textId="3F85CE64">
      <w:pPr>
        <w:pStyle w:val="ParaNum"/>
        <w:widowControl/>
        <w:numPr>
          <w:ilvl w:val="0"/>
          <w:numId w:val="0"/>
        </w:numPr>
        <w:ind w:firstLine="720"/>
        <w:rPr>
          <w:kern w:val="2"/>
          <w:szCs w:val="22"/>
        </w:rPr>
      </w:pPr>
      <w:r w:rsidRPr="00B0369E">
        <w:rPr>
          <w:kern w:val="2"/>
          <w:szCs w:val="22"/>
        </w:rPr>
        <w:t xml:space="preserve">Reasonable accommodations for people with disabilities are available upon request.  Include a description of the accommodation you will need and tell us how to contact you if we need more information.  Make your request as early as possible.  Last-minute requests will be accepted but may be impossible to fill.  Send an e-mail to: </w:t>
      </w:r>
      <w:hyperlink r:id="rId10" w:history="1">
        <w:r w:rsidRPr="00B0369E" w:rsidR="009677E5">
          <w:rPr>
            <w:rStyle w:val="Hyperlink"/>
            <w:kern w:val="2"/>
            <w:szCs w:val="22"/>
          </w:rPr>
          <w:t>FCC504@fcc.gov</w:t>
        </w:r>
      </w:hyperlink>
      <w:r w:rsidRPr="00B0369E" w:rsidR="009677E5">
        <w:rPr>
          <w:kern w:val="2"/>
          <w:szCs w:val="22"/>
        </w:rPr>
        <w:t xml:space="preserve"> </w:t>
      </w:r>
      <w:r w:rsidRPr="00B0369E">
        <w:rPr>
          <w:kern w:val="2"/>
          <w:szCs w:val="22"/>
        </w:rPr>
        <w:t>or call the Consumer and Governmental Affairs Bureau at 202-418-0530 (voice).</w:t>
      </w:r>
    </w:p>
    <w:p w:rsidR="006C4EB4" w:rsidRPr="006C4EB4" w:rsidP="006C4EB4" w14:paraId="3783A19E" w14:textId="77777777">
      <w:pPr>
        <w:rPr>
          <w:sz w:val="22"/>
          <w:szCs w:val="22"/>
        </w:rPr>
      </w:pPr>
    </w:p>
    <w:p w:rsidR="006C4EB4" w:rsidRPr="006C4EB4" w:rsidP="006C4EB4" w14:paraId="4FDC01EA" w14:textId="77777777">
      <w:pPr>
        <w:suppressAutoHyphens/>
        <w:rPr>
          <w:sz w:val="22"/>
          <w:szCs w:val="22"/>
        </w:rPr>
      </w:pPr>
      <w:r w:rsidRPr="006C4EB4">
        <w:rPr>
          <w:sz w:val="22"/>
          <w:szCs w:val="22"/>
        </w:rPr>
        <w:tab/>
      </w:r>
      <w:r w:rsidRPr="006C4EB4">
        <w:rPr>
          <w:sz w:val="22"/>
          <w:szCs w:val="22"/>
        </w:rPr>
        <w:tab/>
      </w:r>
      <w:r w:rsidRPr="006C4EB4">
        <w:rPr>
          <w:sz w:val="22"/>
          <w:szCs w:val="22"/>
        </w:rPr>
        <w:tab/>
      </w:r>
      <w:r w:rsidRPr="006C4EB4">
        <w:rPr>
          <w:sz w:val="22"/>
          <w:szCs w:val="22"/>
        </w:rPr>
        <w:tab/>
      </w:r>
      <w:r w:rsidRPr="006C4EB4">
        <w:rPr>
          <w:sz w:val="22"/>
          <w:szCs w:val="22"/>
        </w:rPr>
        <w:tab/>
        <w:t>Sincerely,</w:t>
      </w:r>
    </w:p>
    <w:p w:rsidR="006C4EB4" w:rsidRPr="006C4EB4" w:rsidP="006C4EB4" w14:paraId="46424DD7" w14:textId="77777777">
      <w:pPr>
        <w:suppressAutoHyphens/>
        <w:rPr>
          <w:sz w:val="22"/>
          <w:szCs w:val="22"/>
        </w:rPr>
      </w:pPr>
    </w:p>
    <w:p w:rsidR="006C4EB4" w:rsidRPr="006C4EB4" w:rsidP="006C4EB4" w14:paraId="78B11728" w14:textId="77777777">
      <w:pPr>
        <w:suppressAutoHyphens/>
        <w:rPr>
          <w:sz w:val="22"/>
          <w:szCs w:val="22"/>
        </w:rPr>
      </w:pPr>
    </w:p>
    <w:p w:rsidR="006C4EB4" w:rsidRPr="006C4EB4" w:rsidP="006C4EB4" w14:paraId="3CD24282" w14:textId="77777777">
      <w:pPr>
        <w:ind w:left="2880" w:firstLine="720"/>
        <w:rPr>
          <w:sz w:val="22"/>
          <w:szCs w:val="22"/>
        </w:rPr>
      </w:pPr>
    </w:p>
    <w:p w:rsidR="006C4EB4" w:rsidRPr="006C4EB4" w:rsidP="006C4EB4" w14:paraId="694E3B22" w14:textId="77777777">
      <w:pPr>
        <w:ind w:left="2880" w:firstLine="720"/>
        <w:rPr>
          <w:sz w:val="22"/>
          <w:szCs w:val="22"/>
        </w:rPr>
      </w:pPr>
      <w:r w:rsidRPr="006C4EB4">
        <w:rPr>
          <w:sz w:val="22"/>
          <w:szCs w:val="22"/>
        </w:rPr>
        <w:t>Patrick M. McGrath</w:t>
      </w:r>
    </w:p>
    <w:p w:rsidR="006C4EB4" w:rsidRPr="006C4EB4" w:rsidP="006C4EB4" w14:paraId="793F733F" w14:textId="77777777">
      <w:pPr>
        <w:ind w:left="2880" w:firstLine="720"/>
        <w:rPr>
          <w:sz w:val="22"/>
          <w:szCs w:val="22"/>
        </w:rPr>
      </w:pPr>
      <w:r w:rsidRPr="006C4EB4">
        <w:rPr>
          <w:sz w:val="22"/>
          <w:szCs w:val="22"/>
        </w:rPr>
        <w:t>Chief</w:t>
      </w:r>
    </w:p>
    <w:p w:rsidR="006C4EB4" w:rsidRPr="006C4EB4" w:rsidP="006C4EB4" w14:paraId="1235274F" w14:textId="77777777">
      <w:pPr>
        <w:ind w:left="3600"/>
        <w:rPr>
          <w:sz w:val="22"/>
          <w:szCs w:val="22"/>
        </w:rPr>
      </w:pPr>
      <w:r w:rsidRPr="006C4EB4">
        <w:rPr>
          <w:sz w:val="22"/>
          <w:szCs w:val="22"/>
        </w:rPr>
        <w:t>Investigations and Hearings Division</w:t>
      </w:r>
    </w:p>
    <w:p w:rsidR="006C4EB4" w:rsidRPr="006C4EB4" w:rsidP="006C4EB4" w14:paraId="1C31B913" w14:textId="77777777">
      <w:pPr>
        <w:rPr>
          <w:sz w:val="22"/>
          <w:szCs w:val="22"/>
        </w:rPr>
      </w:pPr>
      <w:r w:rsidRPr="006C4EB4">
        <w:rPr>
          <w:sz w:val="22"/>
          <w:szCs w:val="22"/>
        </w:rPr>
        <w:t xml:space="preserve">    </w:t>
      </w:r>
      <w:r w:rsidRPr="006C4EB4">
        <w:rPr>
          <w:sz w:val="22"/>
          <w:szCs w:val="22"/>
        </w:rPr>
        <w:tab/>
      </w:r>
      <w:r w:rsidRPr="006C4EB4">
        <w:rPr>
          <w:sz w:val="22"/>
          <w:szCs w:val="22"/>
        </w:rPr>
        <w:tab/>
      </w:r>
      <w:r w:rsidRPr="006C4EB4">
        <w:rPr>
          <w:sz w:val="22"/>
          <w:szCs w:val="22"/>
        </w:rPr>
        <w:tab/>
      </w:r>
      <w:r w:rsidRPr="006C4EB4">
        <w:rPr>
          <w:sz w:val="22"/>
          <w:szCs w:val="22"/>
        </w:rPr>
        <w:tab/>
      </w:r>
      <w:r w:rsidRPr="006C4EB4">
        <w:rPr>
          <w:sz w:val="22"/>
          <w:szCs w:val="22"/>
        </w:rPr>
        <w:tab/>
        <w:t>Enforcement Bureau</w:t>
      </w:r>
    </w:p>
    <w:p w:rsidR="009666A3" w:rsidRPr="006C4EB4" w14:paraId="3A95CA4C" w14:textId="77777777">
      <w:pPr>
        <w:rPr>
          <w:sz w:val="22"/>
          <w:szCs w:val="22"/>
        </w:rPr>
      </w:pPr>
    </w:p>
    <w:p w:rsidR="006C4EB4" w:rsidRPr="006C4EB4" w14:paraId="43780F7D" w14:textId="77777777">
      <w:pPr>
        <w:rPr>
          <w:sz w:val="22"/>
          <w:szCs w:val="22"/>
        </w:rPr>
      </w:pPr>
    </w:p>
    <w:sectPr w:rsidSect="002123E2">
      <w:headerReference w:type="default" r:id="rId11"/>
      <w:head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C4EB4" w:rsidP="006C4EB4" w14:paraId="75FD3CE2" w14:textId="77777777">
      <w:r>
        <w:separator/>
      </w:r>
    </w:p>
  </w:footnote>
  <w:footnote w:type="continuationSeparator" w:id="1">
    <w:p w:rsidR="006C4EB4" w:rsidP="006C4EB4" w14:paraId="4A3C6639" w14:textId="77777777">
      <w:r>
        <w:continuationSeparator/>
      </w:r>
    </w:p>
  </w:footnote>
  <w:footnote w:id="2">
    <w:p w:rsidR="006C4EB4" w:rsidP="006C4EB4" w14:paraId="04BD61C7" w14:textId="77777777">
      <w:pPr>
        <w:pStyle w:val="FootnoteText"/>
        <w:spacing w:after="120"/>
      </w:pPr>
      <w:r>
        <w:rPr>
          <w:rStyle w:val="FootnoteReference"/>
          <w:rFonts w:eastAsiaTheme="majorEastAsia"/>
        </w:rPr>
        <w:footnoteRef/>
      </w:r>
      <w:r>
        <w:t xml:space="preserve"> 47 CFR</w:t>
      </w:r>
      <w:r>
        <w:rPr>
          <w:color w:val="010101"/>
        </w:rPr>
        <w:t xml:space="preserve"> </w:t>
      </w:r>
      <w:r w:rsidRPr="003D183F">
        <w:rPr>
          <w:color w:val="010101"/>
        </w:rPr>
        <w:t xml:space="preserve">§§ </w:t>
      </w:r>
      <w:r w:rsidRPr="00F84C2D">
        <w:t>1.700</w:t>
      </w:r>
      <w:r>
        <w:t>1(b),</w:t>
      </w:r>
      <w:r w:rsidRPr="00227609">
        <w:t xml:space="preserve"> </w:t>
      </w:r>
      <w:r w:rsidRPr="00F84C2D">
        <w:t>1.7004</w:t>
      </w:r>
      <w:r>
        <w:t>.</w:t>
      </w:r>
    </w:p>
  </w:footnote>
  <w:footnote w:id="3">
    <w:p w:rsidR="006C4EB4" w:rsidRPr="00060A50" w:rsidP="006C4EB4" w14:paraId="705CD50C" w14:textId="4871C931">
      <w:pPr>
        <w:pStyle w:val="FootnoteText"/>
        <w:spacing w:after="120"/>
      </w:pPr>
      <w:r>
        <w:rPr>
          <w:rStyle w:val="FootnoteReference"/>
          <w:rFonts w:eastAsiaTheme="majorEastAsia"/>
        </w:rPr>
        <w:footnoteRef/>
      </w:r>
      <w:r>
        <w:t xml:space="preserve"> </w:t>
      </w:r>
      <w:r w:rsidR="00D43AA6">
        <w:rPr>
          <w:i/>
          <w:iCs/>
        </w:rPr>
        <w:t>Id.</w:t>
      </w:r>
      <w:r w:rsidRPr="00D40D5A">
        <w:t xml:space="preserve"> §</w:t>
      </w:r>
      <w:r w:rsidR="00170AB6">
        <w:t xml:space="preserve"> </w:t>
      </w:r>
      <w:r w:rsidRPr="00D40D5A">
        <w:t>1.7009(b)</w:t>
      </w:r>
      <w:r>
        <w:t xml:space="preserve">.  </w:t>
      </w:r>
      <w:r>
        <w:rPr>
          <w:i/>
          <w:iCs/>
        </w:rPr>
        <w:t xml:space="preserve">See also </w:t>
      </w:r>
      <w:r w:rsidR="00D43AA6">
        <w:rPr>
          <w:i/>
          <w:iCs/>
        </w:rPr>
        <w:t>id.</w:t>
      </w:r>
      <w:r>
        <w:t xml:space="preserve"> </w:t>
      </w:r>
      <w:r w:rsidR="002123E2">
        <w:t xml:space="preserve">§ </w:t>
      </w:r>
      <w:r>
        <w:t>1.80(b)(11), T</w:t>
      </w:r>
      <w:r w:rsidRPr="00060A50">
        <w:t>able 1</w:t>
      </w:r>
      <w:r>
        <w:t xml:space="preserve"> (specifying base forfeiture amounts of $3,000 for each failure to file required forms or information, such as Form 477, and $15,000 for each f</w:t>
      </w:r>
      <w:r w:rsidRPr="00060A50">
        <w:t>ailure to</w:t>
      </w:r>
      <w:r>
        <w:t xml:space="preserve"> file</w:t>
      </w:r>
      <w:r w:rsidRPr="00060A50">
        <w:t xml:space="preserve"> </w:t>
      </w:r>
      <w:r>
        <w:t xml:space="preserve">information </w:t>
      </w:r>
      <w:r w:rsidRPr="00060A50">
        <w:t xml:space="preserve">required </w:t>
      </w:r>
      <w:r>
        <w:t>as part of the Digital Opportunity Data Collection, as the BDC was formerly known).</w:t>
      </w:r>
    </w:p>
  </w:footnote>
  <w:footnote w:id="4">
    <w:p w:rsidR="006C4EB4" w:rsidP="006C4EB4" w14:paraId="346631AF" w14:textId="77777777">
      <w:pPr>
        <w:pStyle w:val="FootnoteText"/>
        <w:spacing w:after="120"/>
      </w:pPr>
      <w:r>
        <w:rPr>
          <w:rStyle w:val="FootnoteReference"/>
          <w:rFonts w:eastAsiaTheme="majorEastAsia"/>
        </w:rPr>
        <w:footnoteRef/>
      </w:r>
      <w:r>
        <w:t xml:space="preserve"> 47 U.S.C. </w:t>
      </w:r>
      <w:r w:rsidRPr="003D183F">
        <w:rPr>
          <w:color w:val="010101"/>
        </w:rPr>
        <w:t>§</w:t>
      </w:r>
      <w:r>
        <w:rPr>
          <w:color w:val="010101"/>
        </w:rPr>
        <w:t xml:space="preserve"> 642(a)(1)(A).</w:t>
      </w:r>
    </w:p>
  </w:footnote>
  <w:footnote w:id="5">
    <w:p w:rsidR="006C4EB4" w:rsidP="006C4EB4" w14:paraId="4F8CD805" w14:textId="77777777">
      <w:pPr>
        <w:pStyle w:val="FootnoteText"/>
        <w:spacing w:after="120"/>
      </w:pPr>
      <w:r>
        <w:rPr>
          <w:rStyle w:val="FootnoteReference"/>
          <w:rFonts w:eastAsiaTheme="majorEastAsia"/>
        </w:rPr>
        <w:footnoteRef/>
      </w:r>
      <w:r>
        <w:t xml:space="preserve"> </w:t>
      </w:r>
      <w:r>
        <w:rPr>
          <w:i/>
          <w:iCs/>
        </w:rPr>
        <w:t>Establishing the Digital Opportunity Data Collection</w:t>
      </w:r>
      <w:r>
        <w:t xml:space="preserve">, WC Docket Nos. 19-195, 11-10, Second Report and Order and Third Further Notice of Proposed Rulemaking, 35 FCC </w:t>
      </w:r>
      <w:r>
        <w:t>Rcd</w:t>
      </w:r>
      <w:r>
        <w:t xml:space="preserve"> 7460, 7493-94 at para. 80 (2020); </w:t>
      </w:r>
      <w:r w:rsidRPr="00AA44C9">
        <w:rPr>
          <w:i/>
          <w:iCs/>
        </w:rPr>
        <w:t>see also</w:t>
      </w:r>
      <w:r w:rsidRPr="00E21562">
        <w:t xml:space="preserve"> </w:t>
      </w:r>
      <w:r>
        <w:t xml:space="preserve">47 U.S.C. </w:t>
      </w:r>
      <w:r w:rsidRPr="00FA3E8F">
        <w:rPr>
          <w:bCs/>
        </w:rPr>
        <w:t>§</w:t>
      </w:r>
      <w:r>
        <w:rPr>
          <w:bCs/>
        </w:rPr>
        <w:t xml:space="preserve"> 642(c)(3</w:t>
      </w:r>
      <w:r>
        <w:t>).</w:t>
      </w:r>
    </w:p>
  </w:footnote>
  <w:footnote w:id="6">
    <w:p w:rsidR="006C4EB4" w:rsidP="006C4EB4" w14:paraId="694822A9" w14:textId="15CFA8D9">
      <w:pPr>
        <w:pStyle w:val="FootnoteText"/>
        <w:spacing w:after="120"/>
      </w:pPr>
      <w:r>
        <w:rPr>
          <w:rStyle w:val="FootnoteReference"/>
          <w:rFonts w:eastAsiaTheme="majorEastAsia"/>
        </w:rPr>
        <w:footnoteRef/>
      </w:r>
      <w:r>
        <w:t xml:space="preserve"> </w:t>
      </w:r>
      <w:r w:rsidRPr="00FA3E8F">
        <w:rPr>
          <w:bCs/>
        </w:rPr>
        <w:t>47 CFR § 1.7004(b)</w:t>
      </w:r>
      <w:r>
        <w:rPr>
          <w:bCs/>
        </w:rPr>
        <w:t xml:space="preserve">; </w:t>
      </w:r>
      <w:r>
        <w:rPr>
          <w:bCs/>
          <w:i/>
          <w:iCs/>
        </w:rPr>
        <w:t>s</w:t>
      </w:r>
      <w:r w:rsidRPr="00C6114F">
        <w:rPr>
          <w:bCs/>
          <w:i/>
          <w:iCs/>
        </w:rPr>
        <w:t>ee also</w:t>
      </w:r>
      <w:r w:rsidR="00D43AA6">
        <w:rPr>
          <w:bCs/>
          <w:i/>
          <w:iCs/>
        </w:rPr>
        <w:t xml:space="preserve"> id.</w:t>
      </w:r>
      <w:r>
        <w:rPr>
          <w:bCs/>
        </w:rPr>
        <w:t xml:space="preserve"> </w:t>
      </w:r>
      <w:r w:rsidRPr="00FA3E8F">
        <w:rPr>
          <w:bCs/>
        </w:rPr>
        <w:t>§ 1.700</w:t>
      </w:r>
      <w:r>
        <w:rPr>
          <w:bCs/>
        </w:rPr>
        <w:t>1</w:t>
      </w:r>
      <w:r w:rsidRPr="00FA3E8F">
        <w:rPr>
          <w:bCs/>
        </w:rPr>
        <w:t>(b)</w:t>
      </w:r>
      <w:r>
        <w:rPr>
          <w:bCs/>
        </w:rPr>
        <w:t>.</w:t>
      </w:r>
    </w:p>
  </w:footnote>
  <w:footnote w:id="7">
    <w:p w:rsidR="006C4EB4" w:rsidP="006C4EB4" w14:paraId="0F66AE59" w14:textId="653B2C0E">
      <w:pPr>
        <w:pStyle w:val="FootnoteText"/>
        <w:spacing w:after="120"/>
      </w:pPr>
      <w:r>
        <w:rPr>
          <w:rStyle w:val="FootnoteReference"/>
          <w:rFonts w:eastAsiaTheme="majorEastAsia"/>
        </w:rPr>
        <w:footnoteRef/>
      </w:r>
      <w:r>
        <w:t xml:space="preserve"> </w:t>
      </w:r>
      <w:r w:rsidR="00D43AA6">
        <w:rPr>
          <w:i/>
          <w:iCs/>
        </w:rPr>
        <w:t>Id.</w:t>
      </w:r>
      <w:r w:rsidRPr="00FA3E8F">
        <w:rPr>
          <w:bCs/>
        </w:rPr>
        <w:t xml:space="preserve"> § 1.700</w:t>
      </w:r>
      <w:r>
        <w:rPr>
          <w:bCs/>
        </w:rPr>
        <w:t xml:space="preserve">1(b).  </w:t>
      </w:r>
      <w:r>
        <w:rPr>
          <w:bCs/>
          <w:i/>
          <w:iCs/>
        </w:rPr>
        <w:t xml:space="preserve">See also </w:t>
      </w:r>
      <w:r w:rsidRPr="00CC3721">
        <w:rPr>
          <w:i/>
          <w:iCs/>
        </w:rPr>
        <w:t xml:space="preserve">Broadband Providers No Longer Need to File Broadband Deployment Data Through FCC Form 477; Form </w:t>
      </w:r>
      <w:r>
        <w:rPr>
          <w:i/>
          <w:iCs/>
        </w:rPr>
        <w:t>Subscription Data Must be Filed in the BDC System</w:t>
      </w:r>
      <w:r>
        <w:t xml:space="preserve">, WC Docket Nos. 19-195, 11-10, Public Notice, </w:t>
      </w:r>
      <w:r w:rsidRPr="00F45040">
        <w:t xml:space="preserve">37 FCC </w:t>
      </w:r>
      <w:r w:rsidRPr="00F45040">
        <w:t>Rcd</w:t>
      </w:r>
      <w:r w:rsidRPr="00F45040">
        <w:t xml:space="preserve"> 15032</w:t>
      </w:r>
      <w:r>
        <w:t xml:space="preserve"> (2022</w:t>
      </w:r>
      <w:r w:rsidRPr="003F109B">
        <w:t>)</w:t>
      </w:r>
      <w:r w:rsidRPr="00D6317B">
        <w:t>.</w:t>
      </w:r>
    </w:p>
  </w:footnote>
  <w:footnote w:id="8">
    <w:p w:rsidR="006C4EB4" w:rsidP="006C4EB4" w14:paraId="713B56F5" w14:textId="7CD1E774">
      <w:pPr>
        <w:pStyle w:val="FootnoteText"/>
        <w:spacing w:after="120"/>
      </w:pPr>
      <w:r>
        <w:rPr>
          <w:rStyle w:val="FootnoteReference"/>
          <w:rFonts w:eastAsiaTheme="majorEastAsia"/>
        </w:rPr>
        <w:footnoteRef/>
      </w:r>
      <w:r>
        <w:t xml:space="preserve"> </w:t>
      </w:r>
      <w:r w:rsidRPr="003230AA">
        <w:rPr>
          <w:i/>
          <w:iCs/>
        </w:rPr>
        <w:t>See generally</w:t>
      </w:r>
      <w:r w:rsidRPr="00AA44C9">
        <w:t xml:space="preserve"> </w:t>
      </w:r>
      <w:r w:rsidRPr="003230AA">
        <w:rPr>
          <w:i/>
          <w:iCs/>
        </w:rPr>
        <w:t>Establishing the Digital Opportunity Data Collection; Modernizing the FCC Form 477 Data Program</w:t>
      </w:r>
      <w:r w:rsidRPr="00AA44C9">
        <w:t xml:space="preserve">, WC Docket Nos. 19-195, 11-10, Order, </w:t>
      </w:r>
      <w:r w:rsidRPr="00D6317B">
        <w:t xml:space="preserve">37 FCC </w:t>
      </w:r>
      <w:r w:rsidRPr="00D6317B">
        <w:t>Rcd</w:t>
      </w:r>
      <w:r w:rsidRPr="00D6317B">
        <w:t xml:space="preserve"> 14957</w:t>
      </w:r>
      <w:r>
        <w:t>, 14961, para. 12</w:t>
      </w:r>
      <w:r w:rsidRPr="00AA44C9">
        <w:t xml:space="preserve"> (2022)</w:t>
      </w:r>
      <w:r>
        <w:t xml:space="preserve">. </w:t>
      </w:r>
    </w:p>
  </w:footnote>
  <w:footnote w:id="9">
    <w:p w:rsidR="006C4EB4" w:rsidRPr="00034F0E" w:rsidP="006C4EB4" w14:paraId="0C83F1EA" w14:textId="67B3AEFC">
      <w:pPr>
        <w:pStyle w:val="FootnoteText"/>
        <w:spacing w:after="120"/>
        <w:rPr>
          <w:i/>
          <w:iCs/>
        </w:rPr>
      </w:pPr>
      <w:r>
        <w:rPr>
          <w:rStyle w:val="FootnoteReference"/>
          <w:rFonts w:eastAsiaTheme="majorEastAsia"/>
        </w:rPr>
        <w:footnoteRef/>
      </w:r>
      <w:r>
        <w:t xml:space="preserve"> </w:t>
      </w:r>
      <w:r w:rsidRPr="00441582">
        <w:rPr>
          <w:i/>
          <w:iCs/>
        </w:rPr>
        <w:t xml:space="preserve">See </w:t>
      </w:r>
      <w:r w:rsidRPr="00A61C9A">
        <w:rPr>
          <w:i/>
          <w:iCs/>
        </w:rPr>
        <w:t>id</w:t>
      </w:r>
      <w:r>
        <w:t xml:space="preserve">; 47 U.S.C. </w:t>
      </w:r>
      <w:r w:rsidRPr="00DC7A46">
        <w:t>§</w:t>
      </w:r>
      <w:r>
        <w:t xml:space="preserve"> 1302.</w:t>
      </w:r>
    </w:p>
  </w:footnote>
  <w:footnote w:id="10">
    <w:p w:rsidR="00427CBC" w:rsidRPr="00587B0F" w:rsidP="00427CBC" w14:paraId="3CB6B132" w14:textId="77777777">
      <w:pPr>
        <w:pStyle w:val="FootnoteText"/>
        <w:spacing w:after="120"/>
      </w:pPr>
      <w:r>
        <w:rPr>
          <w:rStyle w:val="FootnoteReference"/>
        </w:rPr>
        <w:footnoteRef/>
      </w:r>
      <w:r>
        <w:t xml:space="preserve"> </w:t>
      </w:r>
      <w:r>
        <w:rPr>
          <w:i/>
          <w:iCs/>
        </w:rPr>
        <w:t>Broadband Data Collection Filing Deadline for June 30, 2023 Data Extended to September 15, 2023</w:t>
      </w:r>
      <w:r>
        <w:t xml:space="preserve">, </w:t>
      </w:r>
      <w:r w:rsidRPr="003411BD">
        <w:t>WC Docket Nos. 19-195, 11-10, Public Notice, DA 2</w:t>
      </w:r>
      <w:r>
        <w:t>3</w:t>
      </w:r>
      <w:r w:rsidRPr="003411BD">
        <w:t>-</w:t>
      </w:r>
      <w:r>
        <w:t>640</w:t>
      </w:r>
      <w:r w:rsidRPr="003411BD">
        <w:t xml:space="preserve">, </w:t>
      </w:r>
      <w:r w:rsidRPr="006B235F">
        <w:t>2023 WL 5090852</w:t>
      </w:r>
      <w:r w:rsidRPr="003411BD">
        <w:t xml:space="preserve"> (BDTF </w:t>
      </w:r>
      <w:r>
        <w:t>Jul. 25, 2023</w:t>
      </w:r>
      <w:r w:rsidRPr="003411BD">
        <w:t>)</w:t>
      </w:r>
      <w:r>
        <w:t xml:space="preserve"> (</w:t>
      </w:r>
      <w:r w:rsidRPr="006B235F">
        <w:t>granting a limited waiver of section 1.7004(b) of the Commission's rules</w:t>
      </w:r>
      <w:r>
        <w:t xml:space="preserve"> following a processing error that affected data necessary for providers to produce their submissions).</w:t>
      </w:r>
    </w:p>
  </w:footnote>
  <w:footnote w:id="11">
    <w:p w:rsidR="006C4EB4" w:rsidP="006C4EB4" w14:paraId="3CE449B1" w14:textId="465C1F62">
      <w:pPr>
        <w:pStyle w:val="FootnoteText"/>
        <w:spacing w:after="120"/>
      </w:pPr>
      <w:r>
        <w:rPr>
          <w:rStyle w:val="FootnoteReference"/>
          <w:rFonts w:eastAsiaTheme="majorEastAsia"/>
        </w:rPr>
        <w:footnoteRef/>
      </w:r>
      <w:r>
        <w:t xml:space="preserve"> </w:t>
      </w:r>
      <w:r w:rsidRPr="003F109B">
        <w:rPr>
          <w:i/>
          <w:iCs/>
        </w:rPr>
        <w:t xml:space="preserve">Broadband </w:t>
      </w:r>
      <w:r>
        <w:rPr>
          <w:i/>
          <w:iCs/>
        </w:rPr>
        <w:t xml:space="preserve">Data Task Force Announces Opening of the Second Broadband </w:t>
      </w:r>
      <w:r w:rsidRPr="003F109B">
        <w:rPr>
          <w:i/>
          <w:iCs/>
        </w:rPr>
        <w:t>Data</w:t>
      </w:r>
      <w:r>
        <w:rPr>
          <w:i/>
          <w:iCs/>
        </w:rPr>
        <w:t xml:space="preserve"> Collection Filing Window</w:t>
      </w:r>
      <w:r w:rsidRPr="003F109B">
        <w:t xml:space="preserve">, </w:t>
      </w:r>
      <w:r>
        <w:t xml:space="preserve">WC </w:t>
      </w:r>
      <w:r w:rsidRPr="003F109B">
        <w:t xml:space="preserve">Docket Nos. 11-10, 19-195, Public Notice, </w:t>
      </w:r>
      <w:r>
        <w:t xml:space="preserve">37 FCC </w:t>
      </w:r>
      <w:r>
        <w:t>Rcd</w:t>
      </w:r>
      <w:r>
        <w:t xml:space="preserve"> 15161</w:t>
      </w:r>
      <w:r w:rsidRPr="003F109B">
        <w:t xml:space="preserve"> (BDTF 2022); </w:t>
      </w:r>
      <w:r w:rsidRPr="00094A3B">
        <w:rPr>
          <w:i/>
          <w:iCs/>
        </w:rPr>
        <w:t xml:space="preserve">All Facilities-Based Broadband Internet Access Service Providers Must Timely File Complete and Accurate Data in the </w:t>
      </w:r>
      <w:r w:rsidRPr="00E00F86">
        <w:rPr>
          <w:i/>
          <w:iCs/>
        </w:rPr>
        <w:t>Broadband Data Collection</w:t>
      </w:r>
      <w:r w:rsidRPr="00E00F86">
        <w:t xml:space="preserve">, WC Docket Nos. 11-10, 19-195, Enforcement Advisory No. 2022-03, 37 FCC </w:t>
      </w:r>
      <w:r w:rsidRPr="00E00F86">
        <w:t>Rcd</w:t>
      </w:r>
      <w:r w:rsidRPr="00E00F86">
        <w:t xml:space="preserve"> 7341 (EB 2022); Email from Office of Economics and Analytics (OEA), FCC, to </w:t>
      </w:r>
      <w:r w:rsidRPr="00E00F86">
        <w:t>FiberSpark</w:t>
      </w:r>
      <w:r w:rsidRPr="00E00F86">
        <w:t xml:space="preserve"> (</w:t>
      </w:r>
      <w:r w:rsidRPr="00E00F86">
        <w:rPr>
          <w:noProof/>
        </w:rPr>
        <w:t>Mar. 23, 2023, 12:42 PM</w:t>
      </w:r>
      <w:r w:rsidRPr="00E00F86">
        <w:t>) (</w:t>
      </w:r>
      <w:r w:rsidR="002123E2">
        <w:t>n</w:t>
      </w:r>
      <w:r w:rsidRPr="00E00F86">
        <w:t xml:space="preserve">otifying Company of the mandatory BDC filing requirement); Email from OEA, FCC, to </w:t>
      </w:r>
      <w:r w:rsidRPr="00E00F86">
        <w:t>FiberSpark</w:t>
      </w:r>
      <w:r w:rsidRPr="00E00F86">
        <w:t xml:space="preserve"> (</w:t>
      </w:r>
      <w:r w:rsidRPr="00E00F86">
        <w:rPr>
          <w:noProof/>
        </w:rPr>
        <w:t>Jul. 19, 2023, 3:04 PM</w:t>
      </w:r>
      <w:r w:rsidRPr="00E00F86">
        <w:t>) (</w:t>
      </w:r>
      <w:r w:rsidR="002123E2">
        <w:t>n</w:t>
      </w:r>
      <w:r w:rsidRPr="00E00F86">
        <w:t xml:space="preserve">otifying Company of its late and/or incomplete BDC filing); Letter from Patrick M. McGrath, </w:t>
      </w:r>
      <w:r w:rsidR="00D43AA6">
        <w:t xml:space="preserve">FCC </w:t>
      </w:r>
      <w:r w:rsidRPr="00E00F86">
        <w:t>Enforcement</w:t>
      </w:r>
      <w:r w:rsidR="00D43AA6">
        <w:t xml:space="preserve"> Bureau,</w:t>
      </w:r>
      <w:r w:rsidRPr="00E00F86">
        <w:t xml:space="preserve"> to </w:t>
      </w:r>
      <w:r w:rsidRPr="00E00F86">
        <w:t>FiberSpark</w:t>
      </w:r>
      <w:r w:rsidRPr="00E00F86">
        <w:t xml:space="preserve"> (Jul. 11, 2023) (</w:t>
      </w:r>
      <w:r w:rsidR="002123E2">
        <w:t>w</w:t>
      </w:r>
      <w:r w:rsidRPr="00E00F86">
        <w:t xml:space="preserve">arning Company of potential violations of a Commission </w:t>
      </w:r>
      <w:r w:rsidR="00D43AA6">
        <w:t>r</w:t>
      </w:r>
      <w:r w:rsidRPr="00E00F86">
        <w:t>ule).</w:t>
      </w:r>
    </w:p>
  </w:footnote>
  <w:footnote w:id="12">
    <w:p w:rsidR="006C4EB4" w:rsidRPr="002D63C3" w:rsidP="006C4EB4" w14:paraId="1CEBE12C" w14:textId="668FA08A">
      <w:pPr>
        <w:pStyle w:val="FootnoteText"/>
        <w:spacing w:after="120"/>
      </w:pPr>
      <w:r w:rsidRPr="002D63C3">
        <w:rPr>
          <w:rStyle w:val="FootnoteReference"/>
          <w:rFonts w:eastAsiaTheme="majorEastAsia"/>
          <w:kern w:val="20"/>
        </w:rPr>
        <w:footnoteRef/>
      </w:r>
      <w:r w:rsidRPr="002D63C3">
        <w:rPr>
          <w:kern w:val="20"/>
        </w:rPr>
        <w:t xml:space="preserve"> </w:t>
      </w:r>
      <w:r w:rsidRPr="002D63C3">
        <w:rPr>
          <w:i/>
          <w:kern w:val="20"/>
        </w:rPr>
        <w:t>See</w:t>
      </w:r>
      <w:r w:rsidRPr="002D63C3">
        <w:rPr>
          <w:kern w:val="20"/>
        </w:rPr>
        <w:t xml:space="preserve"> 47 U.S.C </w:t>
      </w:r>
      <w:r w:rsidRPr="002D63C3">
        <w:rPr>
          <w:kern w:val="20"/>
          <w:szCs w:val="24"/>
        </w:rPr>
        <w:t>§ 503(b)(5).</w:t>
      </w:r>
    </w:p>
  </w:footnote>
  <w:footnote w:id="13">
    <w:p w:rsidR="006C4EB4" w:rsidP="006C4EB4" w14:paraId="202A0E9B" w14:textId="77777777">
      <w:pPr>
        <w:pStyle w:val="FootnoteText"/>
        <w:spacing w:after="120"/>
      </w:pPr>
      <w:r>
        <w:rPr>
          <w:rStyle w:val="FootnoteReference"/>
          <w:rFonts w:eastAsiaTheme="majorEastAsia"/>
        </w:rPr>
        <w:footnoteRef/>
      </w:r>
      <w:r>
        <w:t xml:space="preserve"> </w:t>
      </w:r>
      <w:r w:rsidRPr="00BE70CC">
        <w:rPr>
          <w:szCs w:val="22"/>
        </w:rPr>
        <w:t xml:space="preserve">47 </w:t>
      </w:r>
      <w:r>
        <w:rPr>
          <w:szCs w:val="22"/>
        </w:rPr>
        <w:t>CFR</w:t>
      </w:r>
      <w:r w:rsidRPr="00BE70CC">
        <w:rPr>
          <w:szCs w:val="22"/>
        </w:rPr>
        <w:t xml:space="preserve"> § 1.17</w:t>
      </w:r>
      <w:r>
        <w:rPr>
          <w:szCs w:val="22"/>
        </w:rPr>
        <w:t>.</w:t>
      </w:r>
    </w:p>
  </w:footnote>
  <w:footnote w:id="14">
    <w:p w:rsidR="006C4EB4" w:rsidRPr="00164196" w:rsidP="006C4EB4" w14:paraId="087F1DF0" w14:textId="2E7967C4">
      <w:pPr>
        <w:pStyle w:val="FootnoteText"/>
        <w:spacing w:after="120"/>
        <w:rPr>
          <w:color w:val="010101"/>
        </w:rPr>
      </w:pPr>
      <w:r>
        <w:rPr>
          <w:rStyle w:val="FootnoteReference"/>
          <w:rFonts w:eastAsiaTheme="majorEastAsia"/>
        </w:rPr>
        <w:footnoteRef/>
      </w:r>
      <w:r>
        <w:t xml:space="preserve"> </w:t>
      </w:r>
      <w:r w:rsidRPr="003D183F">
        <w:rPr>
          <w:i/>
          <w:iCs/>
          <w:color w:val="010101"/>
        </w:rPr>
        <w:t xml:space="preserve">See </w:t>
      </w:r>
      <w:r w:rsidRPr="003D183F">
        <w:rPr>
          <w:color w:val="010101"/>
        </w:rPr>
        <w:t>47 U.S.C.</w:t>
      </w:r>
      <w:r>
        <w:rPr>
          <w:color w:val="010101"/>
        </w:rPr>
        <w:t xml:space="preserve"> </w:t>
      </w:r>
      <w:r w:rsidRPr="003D183F">
        <w:rPr>
          <w:color w:val="010101"/>
        </w:rPr>
        <w:t>§ 503</w:t>
      </w:r>
      <w:r>
        <w:rPr>
          <w:color w:val="010101"/>
        </w:rPr>
        <w:t xml:space="preserve">(b)(2)(D); </w:t>
      </w:r>
      <w:r w:rsidRPr="004D6B99">
        <w:rPr>
          <w:i/>
          <w:iCs/>
          <w:color w:val="010101"/>
        </w:rPr>
        <w:t>Amendment of Section 1.80(b) of the Commission’s Rules, Adjustment of Civil Monetary Penalties to Reflect Inflation</w:t>
      </w:r>
      <w:r w:rsidRPr="004D6B99">
        <w:rPr>
          <w:color w:val="010101"/>
        </w:rPr>
        <w:t xml:space="preserve">, Order, DA 23-1198, </w:t>
      </w:r>
      <w:r w:rsidR="00D43AA6">
        <w:rPr>
          <w:color w:val="010101"/>
        </w:rPr>
        <w:t xml:space="preserve">2023 </w:t>
      </w:r>
      <w:r w:rsidRPr="004D6B99">
        <w:rPr>
          <w:color w:val="010101"/>
        </w:rPr>
        <w:t xml:space="preserve">WL 8889597 (EB Dec. 22, 2023); </w:t>
      </w:r>
      <w:r w:rsidRPr="004D6B99">
        <w:rPr>
          <w:i/>
          <w:iCs/>
          <w:color w:val="010101"/>
        </w:rPr>
        <w:t>see also</w:t>
      </w:r>
      <w:r w:rsidRPr="004D6B99">
        <w:rPr>
          <w:color w:val="010101"/>
        </w:rPr>
        <w:t xml:space="preserve"> Annual Adjustment of Civil Monetary Penalties to Reflect Inflation, 89 Fed. Reg. 2148 (Jan. 12, 2024) (setting Jan. 15, 2024 as the effective date for the increases)</w:t>
      </w:r>
      <w:r>
        <w:rPr>
          <w:color w:val="010101"/>
        </w:rPr>
        <w:t xml:space="preserve">; </w:t>
      </w:r>
      <w:r>
        <w:rPr>
          <w:i/>
          <w:iCs/>
        </w:rPr>
        <w:t xml:space="preserve">see also </w:t>
      </w:r>
      <w:r>
        <w:t xml:space="preserve">47 CFR </w:t>
      </w:r>
      <w:r w:rsidR="002123E2">
        <w:t xml:space="preserve">§ </w:t>
      </w:r>
      <w:r>
        <w:t>1.80(b)(11), T</w:t>
      </w:r>
      <w:r w:rsidRPr="00060A50">
        <w:t>able 1</w:t>
      </w:r>
      <w:r>
        <w:t xml:space="preserve"> (specifying base forfeiture amounts of $3,000 for failure to file required forms or information, such as Form 477, and $15,000 for each f</w:t>
      </w:r>
      <w:r w:rsidRPr="00060A50">
        <w:t xml:space="preserve">ailure to </w:t>
      </w:r>
      <w:r>
        <w:t xml:space="preserve">file information </w:t>
      </w:r>
      <w:r w:rsidRPr="00060A50">
        <w:t xml:space="preserve">required </w:t>
      </w:r>
      <w:r>
        <w:t>as part of the Digital Opportunity Data Collection, as the BDC was formerly known).</w:t>
      </w:r>
    </w:p>
  </w:footnote>
  <w:footnote w:id="15">
    <w:p w:rsidR="006C4EB4" w:rsidP="006C4EB4" w14:paraId="0FAC3A8F" w14:textId="77B65950">
      <w:pPr>
        <w:pStyle w:val="FootnoteText"/>
        <w:spacing w:after="120"/>
      </w:pPr>
      <w:r>
        <w:rPr>
          <w:rStyle w:val="FootnoteReference"/>
          <w:rFonts w:eastAsiaTheme="majorEastAsia"/>
        </w:rPr>
        <w:footnoteRef/>
      </w:r>
      <w:r>
        <w:t xml:space="preserve"> S. Rep. No. 95-580, 95</w:t>
      </w:r>
      <w:r w:rsidRPr="005C5A57">
        <w:rPr>
          <w:vertAlign w:val="superscript"/>
        </w:rPr>
        <w:t>th</w:t>
      </w:r>
      <w:r>
        <w:t xml:space="preserve"> Cong., 1</w:t>
      </w:r>
      <w:r w:rsidRPr="005C5A57">
        <w:rPr>
          <w:vertAlign w:val="superscript"/>
        </w:rPr>
        <w:t>st</w:t>
      </w:r>
      <w:r>
        <w:t xml:space="preserve"> Sess. </w:t>
      </w:r>
      <w:r w:rsidR="00D43AA6">
        <w:t>a</w:t>
      </w:r>
      <w:r>
        <w:t xml:space="preserve">t 9 (1977) (If a person or entity that has been issued a citation by the Commission thereafter engages in conduct for which the citation of the violation was sent, the subsequent notice of apparent liability “would attach not only for the conduct occurring subsequently </w:t>
      </w:r>
      <w:r w:rsidRPr="005C5A57">
        <w:rPr>
          <w:i/>
          <w:iCs/>
        </w:rPr>
        <w:t>but also for the conduct for which the citation was originally sent</w:t>
      </w:r>
      <w:r>
        <w:t>.” (emphasis added)).</w:t>
      </w:r>
    </w:p>
  </w:footnote>
  <w:footnote w:id="16">
    <w:p w:rsidR="006C4EB4" w:rsidRPr="002D63C3" w:rsidP="006C4EB4" w14:paraId="5D4F4688" w14:textId="1B1DE9AF">
      <w:pPr>
        <w:pStyle w:val="FootnoteText"/>
        <w:spacing w:after="120"/>
      </w:pPr>
      <w:r w:rsidRPr="002D63C3">
        <w:rPr>
          <w:rStyle w:val="FootnoteReference"/>
          <w:rFonts w:eastAsiaTheme="majorEastAsia"/>
        </w:rPr>
        <w:footnoteRef/>
      </w:r>
      <w:r w:rsidRPr="002D63C3">
        <w:t xml:space="preserve"> </w:t>
      </w:r>
      <w:r w:rsidRPr="002D63C3">
        <w:rPr>
          <w:i/>
        </w:rPr>
        <w:t>See</w:t>
      </w:r>
      <w:r w:rsidRPr="002D63C3">
        <w:t xml:space="preserve"> 47 U.S.C. § 503(b)(2)(E); 47 </w:t>
      </w:r>
      <w:r>
        <w:t>CFR</w:t>
      </w:r>
      <w:r w:rsidRPr="002D63C3">
        <w:t xml:space="preserve"> § 1.80(b)(</w:t>
      </w:r>
      <w:r w:rsidR="00D43AA6">
        <w:t>11</w:t>
      </w:r>
      <w:r w:rsidRPr="002D63C3">
        <w:t>).</w:t>
      </w:r>
    </w:p>
  </w:footnote>
  <w:footnote w:id="17">
    <w:p w:rsidR="006C4EB4" w:rsidP="006C4EB4" w14:paraId="4551AD4B" w14:textId="77777777">
      <w:pPr>
        <w:pStyle w:val="FootnoteText"/>
        <w:spacing w:after="120"/>
      </w:pPr>
      <w:r>
        <w:rPr>
          <w:rStyle w:val="FootnoteReference"/>
          <w:rFonts w:eastAsiaTheme="majorEastAsia"/>
        </w:rPr>
        <w:footnoteRef/>
      </w:r>
      <w:r>
        <w:t xml:space="preserve"> </w:t>
      </w:r>
      <w:r w:rsidRPr="003D183F">
        <w:rPr>
          <w:i/>
          <w:iCs/>
          <w:color w:val="010101"/>
        </w:rPr>
        <w:t xml:space="preserve">See </w:t>
      </w:r>
      <w:r w:rsidRPr="003D183F">
        <w:rPr>
          <w:color w:val="010101"/>
        </w:rPr>
        <w:t>47 U.S.C.</w:t>
      </w:r>
      <w:r>
        <w:rPr>
          <w:color w:val="010101"/>
        </w:rPr>
        <w:t xml:space="preserve"> </w:t>
      </w:r>
      <w:r w:rsidRPr="003D183F">
        <w:rPr>
          <w:color w:val="010101"/>
        </w:rPr>
        <w:t>§ 503</w:t>
      </w:r>
      <w:r>
        <w:rPr>
          <w:color w:val="010101"/>
        </w:rPr>
        <w:t>(b)(5).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580C" w:rsidP="00C6580C" w14:paraId="0D1BE5B2" w14:textId="631B2CF6">
    <w:pPr>
      <w:pStyle w:val="Header"/>
      <w:tabs>
        <w:tab w:val="center" w:pos="0"/>
        <w:tab w:val="clear" w:pos="4680"/>
      </w:tabs>
    </w:pPr>
    <w:r w:rsidRPr="00DF1953">
      <w:rPr>
        <w:sz w:val="22"/>
        <w:szCs w:val="22"/>
      </w:rPr>
      <w:t>FiberSpark</w:t>
    </w:r>
    <w:r w:rsidRPr="00DF1953">
      <w:rPr>
        <w:sz w:val="22"/>
        <w:szCs w:val="22"/>
      </w:rPr>
      <w:t xml:space="preserve"> Inc</w:t>
    </w:r>
    <w:r w:rsidR="00C31BF9">
      <w:rPr>
        <w:sz w:val="22"/>
        <w:szCs w:val="22"/>
      </w:rPr>
      <w:t>.</w:t>
    </w:r>
    <w:r>
      <w:rPr>
        <w:sz w:val="22"/>
        <w:szCs w:val="22"/>
      </w:rPr>
      <w:t xml:space="preserve">   </w:t>
    </w:r>
    <w:r>
      <w:rPr>
        <w:sz w:val="22"/>
        <w:szCs w:val="22"/>
      </w:rPr>
      <w:tab/>
    </w:r>
    <w:r w:rsidRPr="004E2D45" w:rsidR="0075452A">
      <w:rPr>
        <w:b/>
        <w:bCs/>
        <w:spacing w:val="-2"/>
      </w:rPr>
      <w:t xml:space="preserve">DA </w:t>
    </w:r>
    <w:r w:rsidRPr="004E2D45" w:rsidR="004E2D45">
      <w:rPr>
        <w:b/>
        <w:bCs/>
        <w:spacing w:val="-2"/>
      </w:rPr>
      <w:t>24</w:t>
    </w:r>
    <w:r w:rsidR="004E2D45">
      <w:rPr>
        <w:b/>
        <w:bCs/>
        <w:spacing w:val="-2"/>
      </w:rPr>
      <w:t>-846</w:t>
    </w:r>
  </w:p>
  <w:p w:rsidR="002123E2" w:rsidRPr="00DF1953" w14:paraId="16B891E5" w14:textId="13C50C63">
    <w:pPr>
      <w:pStyle w:val="Header"/>
      <w:rPr>
        <w:sz w:val="22"/>
        <w:szCs w:val="22"/>
      </w:rPr>
    </w:pPr>
    <w:r w:rsidRPr="002D0A24">
      <w:rPr>
        <w:sz w:val="22"/>
        <w:szCs w:val="22"/>
      </w:rPr>
      <w:t>August 22, 2024</w:t>
    </w:r>
  </w:p>
  <w:p w:rsidR="002123E2" w:rsidRPr="004E2D45" w14:paraId="334E6F26" w14:textId="5DD46344">
    <w:pPr>
      <w:pStyle w:val="Header"/>
      <w:rPr>
        <w:sz w:val="22"/>
        <w:szCs w:val="22"/>
      </w:rPr>
    </w:pPr>
    <w:r w:rsidRPr="004E2D45">
      <w:rPr>
        <w:sz w:val="22"/>
        <w:szCs w:val="22"/>
      </w:rPr>
      <w:t xml:space="preserve">Page </w:t>
    </w:r>
    <w:r w:rsidRPr="004E2D45">
      <w:rPr>
        <w:sz w:val="22"/>
        <w:szCs w:val="22"/>
      </w:rPr>
      <w:fldChar w:fldCharType="begin"/>
    </w:r>
    <w:r w:rsidRPr="004E2D45">
      <w:rPr>
        <w:sz w:val="22"/>
        <w:szCs w:val="22"/>
      </w:rPr>
      <w:instrText xml:space="preserve"> PAGE  \* Arabic  \* MERGEFORMAT </w:instrText>
    </w:r>
    <w:r w:rsidRPr="004E2D45">
      <w:rPr>
        <w:sz w:val="22"/>
        <w:szCs w:val="22"/>
      </w:rPr>
      <w:fldChar w:fldCharType="separate"/>
    </w:r>
    <w:r w:rsidRPr="004E2D45">
      <w:rPr>
        <w:noProof/>
        <w:sz w:val="22"/>
        <w:szCs w:val="22"/>
      </w:rPr>
      <w:t>1</w:t>
    </w:r>
    <w:r w:rsidRPr="004E2D45">
      <w:rPr>
        <w:sz w:val="22"/>
        <w:szCs w:val="22"/>
      </w:rPr>
      <w:fldChar w:fldCharType="end"/>
    </w:r>
    <w:r w:rsidRPr="004E2D45">
      <w:rPr>
        <w:sz w:val="22"/>
        <w:szCs w:val="22"/>
      </w:rPr>
      <w:t xml:space="preserve"> of </w:t>
    </w:r>
    <w:r w:rsidRPr="004E2D45">
      <w:rPr>
        <w:sz w:val="22"/>
        <w:szCs w:val="22"/>
      </w:rPr>
      <w:fldChar w:fldCharType="begin"/>
    </w:r>
    <w:r w:rsidRPr="004E2D45">
      <w:rPr>
        <w:sz w:val="22"/>
        <w:szCs w:val="22"/>
      </w:rPr>
      <w:instrText xml:space="preserve"> NUMPAGES  \* Arabic  \* MERGEFORMAT </w:instrText>
    </w:r>
    <w:r w:rsidRPr="004E2D45">
      <w:rPr>
        <w:sz w:val="22"/>
        <w:szCs w:val="22"/>
      </w:rPr>
      <w:fldChar w:fldCharType="separate"/>
    </w:r>
    <w:r w:rsidRPr="004E2D45">
      <w:rPr>
        <w:noProof/>
        <w:sz w:val="22"/>
        <w:szCs w:val="22"/>
      </w:rPr>
      <w:t>2</w:t>
    </w:r>
    <w:r w:rsidRPr="004E2D45">
      <w:rPr>
        <w:sz w:val="22"/>
        <w:szCs w:val="22"/>
      </w:rPr>
      <w:fldChar w:fldCharType="end"/>
    </w:r>
  </w:p>
  <w:p w:rsidR="002123E2" w14:paraId="387B0D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580C" w14:paraId="1747D185" w14:textId="77777777">
    <w:pPr>
      <w:pStyle w:val="Header"/>
    </w:pPr>
  </w:p>
  <w:p w:rsidR="00C6580C" w14:paraId="65E5476E" w14:textId="77777777">
    <w:pPr>
      <w:pStyle w:val="Header"/>
    </w:pPr>
  </w:p>
  <w:p w:rsidR="00C6580C" w:rsidP="0075452A" w14:paraId="0F03A899" w14:textId="63FC6542">
    <w:pPr>
      <w:pStyle w:val="Header"/>
      <w:jc w:val="right"/>
    </w:pPr>
    <w:r w:rsidRPr="004E2D45">
      <w:rPr>
        <w:b/>
        <w:bCs/>
        <w:spacing w:val="-2"/>
      </w:rPr>
      <w:t xml:space="preserve">DA </w:t>
    </w:r>
    <w:r w:rsidRPr="004E2D45" w:rsidR="004E2D45">
      <w:rPr>
        <w:b/>
        <w:bCs/>
        <w:spacing w:val="-2"/>
      </w:rPr>
      <w:t>24</w:t>
    </w:r>
    <w:r w:rsidR="004E2D45">
      <w:rPr>
        <w:b/>
        <w:bCs/>
        <w:spacing w:val="-2"/>
      </w:rPr>
      <w:t>-846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61182925"/>
    <w:multiLevelType w:val="singleLevel"/>
    <w:tmpl w:val="111C9D98"/>
    <w:lvl w:ilvl="0">
      <w:start w:val="1"/>
      <w:numFmt w:val="decimal"/>
      <w:pStyle w:val="ParaNum"/>
      <w:lvlText w:val="%1."/>
      <w:lvlJc w:val="left"/>
      <w:pPr>
        <w:tabs>
          <w:tab w:val="num" w:pos="1080"/>
        </w:tabs>
        <w:ind w:left="0" w:firstLine="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B4"/>
    <w:rsid w:val="00034F0E"/>
    <w:rsid w:val="00060A50"/>
    <w:rsid w:val="00067236"/>
    <w:rsid w:val="00094A3B"/>
    <w:rsid w:val="000E7884"/>
    <w:rsid w:val="000F5676"/>
    <w:rsid w:val="00101968"/>
    <w:rsid w:val="00164196"/>
    <w:rsid w:val="00170AB6"/>
    <w:rsid w:val="00171036"/>
    <w:rsid w:val="002123E2"/>
    <w:rsid w:val="00227609"/>
    <w:rsid w:val="00232158"/>
    <w:rsid w:val="0027188A"/>
    <w:rsid w:val="002D06A2"/>
    <w:rsid w:val="002D0A24"/>
    <w:rsid w:val="002D63C3"/>
    <w:rsid w:val="002E0837"/>
    <w:rsid w:val="003230AA"/>
    <w:rsid w:val="003411BD"/>
    <w:rsid w:val="003D183F"/>
    <w:rsid w:val="003F109B"/>
    <w:rsid w:val="00427CBC"/>
    <w:rsid w:val="00441582"/>
    <w:rsid w:val="004D6B99"/>
    <w:rsid w:val="004E2BFB"/>
    <w:rsid w:val="004E2D45"/>
    <w:rsid w:val="005039D6"/>
    <w:rsid w:val="00587B0F"/>
    <w:rsid w:val="005C1E36"/>
    <w:rsid w:val="005C5A57"/>
    <w:rsid w:val="005F13D3"/>
    <w:rsid w:val="00610BC2"/>
    <w:rsid w:val="006B235F"/>
    <w:rsid w:val="006C4EB4"/>
    <w:rsid w:val="00716A45"/>
    <w:rsid w:val="0075452A"/>
    <w:rsid w:val="00773D6C"/>
    <w:rsid w:val="008255E3"/>
    <w:rsid w:val="008C29A6"/>
    <w:rsid w:val="008E61B4"/>
    <w:rsid w:val="009666A3"/>
    <w:rsid w:val="009677E5"/>
    <w:rsid w:val="009B5915"/>
    <w:rsid w:val="009B6D30"/>
    <w:rsid w:val="009D369F"/>
    <w:rsid w:val="00A61C9A"/>
    <w:rsid w:val="00A77716"/>
    <w:rsid w:val="00A9689D"/>
    <w:rsid w:val="00AA44C9"/>
    <w:rsid w:val="00AE2DDE"/>
    <w:rsid w:val="00B0369E"/>
    <w:rsid w:val="00B178D1"/>
    <w:rsid w:val="00BE70CC"/>
    <w:rsid w:val="00BF3580"/>
    <w:rsid w:val="00C31BF9"/>
    <w:rsid w:val="00C6114F"/>
    <w:rsid w:val="00C6580C"/>
    <w:rsid w:val="00CC3721"/>
    <w:rsid w:val="00CC3E49"/>
    <w:rsid w:val="00D40D5A"/>
    <w:rsid w:val="00D43AA6"/>
    <w:rsid w:val="00D6317B"/>
    <w:rsid w:val="00D948BC"/>
    <w:rsid w:val="00DC7A46"/>
    <w:rsid w:val="00DF1953"/>
    <w:rsid w:val="00E00F86"/>
    <w:rsid w:val="00E21562"/>
    <w:rsid w:val="00E84B74"/>
    <w:rsid w:val="00F45040"/>
    <w:rsid w:val="00F84C2D"/>
    <w:rsid w:val="00FA3E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524EBD"/>
  <w15:chartTrackingRefBased/>
  <w15:docId w15:val="{56E2995B-2671-447D-998C-30AE3B84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EB4"/>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6C4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C4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E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E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E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E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C4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EB4"/>
    <w:rPr>
      <w:rFonts w:eastAsiaTheme="majorEastAsia" w:cstheme="majorBidi"/>
      <w:color w:val="272727" w:themeColor="text1" w:themeTint="D8"/>
    </w:rPr>
  </w:style>
  <w:style w:type="paragraph" w:styleId="Title">
    <w:name w:val="Title"/>
    <w:basedOn w:val="Normal"/>
    <w:next w:val="Normal"/>
    <w:link w:val="TitleChar"/>
    <w:uiPriority w:val="10"/>
    <w:qFormat/>
    <w:rsid w:val="006C4E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EB4"/>
    <w:pPr>
      <w:spacing w:before="160"/>
      <w:jc w:val="center"/>
    </w:pPr>
    <w:rPr>
      <w:i/>
      <w:iCs/>
      <w:color w:val="404040" w:themeColor="text1" w:themeTint="BF"/>
    </w:rPr>
  </w:style>
  <w:style w:type="character" w:customStyle="1" w:styleId="QuoteChar">
    <w:name w:val="Quote Char"/>
    <w:basedOn w:val="DefaultParagraphFont"/>
    <w:link w:val="Quote"/>
    <w:uiPriority w:val="29"/>
    <w:rsid w:val="006C4EB4"/>
    <w:rPr>
      <w:i/>
      <w:iCs/>
      <w:color w:val="404040" w:themeColor="text1" w:themeTint="BF"/>
    </w:rPr>
  </w:style>
  <w:style w:type="paragraph" w:styleId="ListParagraph">
    <w:name w:val="List Paragraph"/>
    <w:basedOn w:val="Normal"/>
    <w:uiPriority w:val="34"/>
    <w:qFormat/>
    <w:rsid w:val="006C4EB4"/>
    <w:pPr>
      <w:ind w:left="720"/>
      <w:contextualSpacing/>
    </w:pPr>
  </w:style>
  <w:style w:type="character" w:styleId="IntenseEmphasis">
    <w:name w:val="Intense Emphasis"/>
    <w:basedOn w:val="DefaultParagraphFont"/>
    <w:uiPriority w:val="21"/>
    <w:qFormat/>
    <w:rsid w:val="006C4EB4"/>
    <w:rPr>
      <w:i/>
      <w:iCs/>
      <w:color w:val="0F4761" w:themeColor="accent1" w:themeShade="BF"/>
    </w:rPr>
  </w:style>
  <w:style w:type="paragraph" w:styleId="IntenseQuote">
    <w:name w:val="Intense Quote"/>
    <w:basedOn w:val="Normal"/>
    <w:next w:val="Normal"/>
    <w:link w:val="IntenseQuoteChar"/>
    <w:uiPriority w:val="30"/>
    <w:qFormat/>
    <w:rsid w:val="006C4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EB4"/>
    <w:rPr>
      <w:i/>
      <w:iCs/>
      <w:color w:val="0F4761" w:themeColor="accent1" w:themeShade="BF"/>
    </w:rPr>
  </w:style>
  <w:style w:type="character" w:styleId="IntenseReference">
    <w:name w:val="Intense Reference"/>
    <w:basedOn w:val="DefaultParagraphFont"/>
    <w:uiPriority w:val="32"/>
    <w:qFormat/>
    <w:rsid w:val="006C4EB4"/>
    <w:rPr>
      <w:b/>
      <w:bCs/>
      <w:smallCaps/>
      <w:color w:val="0F4761" w:themeColor="accent1" w:themeShade="BF"/>
      <w:spacing w:val="5"/>
    </w:rPr>
  </w:style>
  <w:style w:type="paragraph" w:styleId="FootnoteText">
    <w:name w:val="footnote text"/>
    <w:aliases w:val="ALTS FOOTNOTE,Footnote Text Char Char Char Char2,Footnote Text Char1 Char Char Char Char Char,Footnote Text Char1 Char Char2,Footnote Text Char2,Footnote Text Char2 Char Char1 Char Char1,Footnote Text Char2 Char1,f,fn,fn Char,rrfootnote"/>
    <w:basedOn w:val="Normal"/>
    <w:link w:val="FootnoteTextChar"/>
    <w:rsid w:val="006C4EB4"/>
    <w:rPr>
      <w:sz w:val="20"/>
    </w:rPr>
  </w:style>
  <w:style w:type="character" w:customStyle="1" w:styleId="FootnoteTextChar">
    <w:name w:val="Footnote Text Char"/>
    <w:aliases w:val="Footnote Text Char Char Char Char2 Char,Footnote Text Char1 Char Char Char Char Char Char,Footnote Text Char1 Char Char2 Char,Footnote Text Char2 Char,Footnote Text Char2 Char Char1 Char Char1 Char,Footnote Text Char2 Char1 Char"/>
    <w:basedOn w:val="DefaultParagraphFont"/>
    <w:link w:val="FootnoteText"/>
    <w:rsid w:val="006C4EB4"/>
    <w:rPr>
      <w:rFonts w:ascii="Times New Roman" w:eastAsia="Times New Roman" w:hAnsi="Times New Roman" w:cs="Times New Roman"/>
      <w:kern w:val="0"/>
      <w:sz w:val="20"/>
      <w:szCs w:val="20"/>
      <w14:ligatures w14:val="none"/>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6C4EB4"/>
    <w:rPr>
      <w:vertAlign w:val="superscript"/>
    </w:rPr>
  </w:style>
  <w:style w:type="character" w:styleId="Hyperlink">
    <w:name w:val="Hyperlink"/>
    <w:rsid w:val="006C4EB4"/>
    <w:rPr>
      <w:color w:val="0000FF"/>
      <w:u w:val="single"/>
    </w:rPr>
  </w:style>
  <w:style w:type="paragraph" w:customStyle="1" w:styleId="StyleBoldCentered">
    <w:name w:val="Style Bold Centered"/>
    <w:basedOn w:val="Normal"/>
    <w:uiPriority w:val="99"/>
    <w:rsid w:val="006C4EB4"/>
    <w:pPr>
      <w:widowControl w:val="0"/>
      <w:jc w:val="center"/>
    </w:pPr>
    <w:rPr>
      <w:rFonts w:ascii="Times New Roman Bold" w:hAnsi="Times New Roman Bold"/>
      <w:b/>
      <w:bCs/>
      <w:caps/>
      <w:kern w:val="28"/>
      <w:sz w:val="22"/>
      <w:szCs w:val="22"/>
    </w:rPr>
  </w:style>
  <w:style w:type="paragraph" w:customStyle="1" w:styleId="ParaNum">
    <w:name w:val="ParaNum"/>
    <w:basedOn w:val="Normal"/>
    <w:link w:val="ParaNumChar"/>
    <w:rsid w:val="006C4EB4"/>
    <w:pPr>
      <w:widowControl w:val="0"/>
      <w:numPr>
        <w:numId w:val="1"/>
      </w:numPr>
      <w:spacing w:after="120"/>
    </w:pPr>
    <w:rPr>
      <w:kern w:val="28"/>
      <w:sz w:val="22"/>
    </w:rPr>
  </w:style>
  <w:style w:type="character" w:customStyle="1" w:styleId="ParaNumChar">
    <w:name w:val="ParaNum Char"/>
    <w:link w:val="ParaNum"/>
    <w:locked/>
    <w:rsid w:val="006C4EB4"/>
    <w:rPr>
      <w:rFonts w:ascii="Times New Roman" w:eastAsia="Times New Roman" w:hAnsi="Times New Roman" w:cs="Times New Roman"/>
      <w:kern w:val="28"/>
      <w:szCs w:val="20"/>
      <w14:ligatures w14:val="none"/>
    </w:rPr>
  </w:style>
  <w:style w:type="character" w:styleId="UnresolvedMention">
    <w:name w:val="Unresolved Mention"/>
    <w:basedOn w:val="DefaultParagraphFont"/>
    <w:uiPriority w:val="99"/>
    <w:semiHidden/>
    <w:unhideWhenUsed/>
    <w:rsid w:val="00E00F86"/>
    <w:rPr>
      <w:color w:val="605E5C"/>
      <w:shd w:val="clear" w:color="auto" w:fill="E1DFDD"/>
    </w:rPr>
  </w:style>
  <w:style w:type="paragraph" w:styleId="Header">
    <w:name w:val="header"/>
    <w:basedOn w:val="Normal"/>
    <w:link w:val="HeaderChar"/>
    <w:uiPriority w:val="99"/>
    <w:unhideWhenUsed/>
    <w:rsid w:val="002123E2"/>
    <w:pPr>
      <w:tabs>
        <w:tab w:val="center" w:pos="4680"/>
        <w:tab w:val="right" w:pos="9360"/>
      </w:tabs>
    </w:pPr>
  </w:style>
  <w:style w:type="character" w:customStyle="1" w:styleId="HeaderChar">
    <w:name w:val="Header Char"/>
    <w:basedOn w:val="DefaultParagraphFont"/>
    <w:link w:val="Header"/>
    <w:uiPriority w:val="99"/>
    <w:rsid w:val="002123E2"/>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2123E2"/>
    <w:pPr>
      <w:tabs>
        <w:tab w:val="center" w:pos="4680"/>
        <w:tab w:val="right" w:pos="9360"/>
      </w:tabs>
    </w:pPr>
  </w:style>
  <w:style w:type="character" w:customStyle="1" w:styleId="FooterChar">
    <w:name w:val="Footer Char"/>
    <w:basedOn w:val="DefaultParagraphFont"/>
    <w:link w:val="Footer"/>
    <w:uiPriority w:val="99"/>
    <w:rsid w:val="002123E2"/>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FCC504@fcc.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hyperlink" Target="https://bdc.fcc.gov/" TargetMode="External" /><Relationship Id="rId7" Type="http://schemas.openxmlformats.org/officeDocument/2006/relationships/hyperlink" Target="https://www.fcc.gov/BroadbandData/resources" TargetMode="External" /><Relationship Id="rId8" Type="http://schemas.openxmlformats.org/officeDocument/2006/relationships/hyperlink" Target="mailto:BroadbandDataInquiries@fcc.gov" TargetMode="External" /><Relationship Id="rId9" Type="http://schemas.openxmlformats.org/officeDocument/2006/relationships/hyperlink" Target="mailto:IHDTelecom@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